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9B3FC9C" wp14:editId="48EEC2D7">
            <wp:extent cx="609600" cy="838200"/>
            <wp:effectExtent l="0" t="0" r="0" b="0"/>
            <wp:docPr id="2" name="Рисунок 2" descr="Описание: 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F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72FB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B5879A" wp14:editId="711FDC16">
            <wp:extent cx="733425" cy="1028700"/>
            <wp:effectExtent l="0" t="0" r="0" b="0"/>
            <wp:docPr id="1" name="Рисунок 1" descr="Описание: 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>Косівська районна рада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>чотирнадцята сесія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2FBB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55D7E" w:rsidRPr="00272FBB" w:rsidRDefault="00755D7E" w:rsidP="00755D7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від 07 червня 2018 року                                                      </w:t>
      </w:r>
      <w:r w:rsidRPr="00272FB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72FB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461</w:t>
      </w:r>
      <w:r w:rsidRPr="00272FBB">
        <w:rPr>
          <w:rFonts w:ascii="Times New Roman" w:hAnsi="Times New Roman" w:cs="Times New Roman"/>
          <w:sz w:val="24"/>
          <w:szCs w:val="24"/>
        </w:rPr>
        <w:t xml:space="preserve">-14/2018   </w:t>
      </w:r>
    </w:p>
    <w:p w:rsidR="00755D7E" w:rsidRPr="00272FBB" w:rsidRDefault="00755D7E" w:rsidP="00755D7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м.Косів</w:t>
      </w:r>
    </w:p>
    <w:p w:rsidR="00755D7E" w:rsidRDefault="00755D7E" w:rsidP="0075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Про затвердження передавального акту </w:t>
      </w: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комунальної установи «Косівська центральна </w:t>
      </w: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районна лікарня» комунальному некомерційному </w:t>
      </w: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підприємству «Косівська центральна районна лікарня</w:t>
      </w: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»</w:t>
      </w:r>
      <w:r w:rsidRPr="00272F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статті 57 Господарського Кодексу України, статей 107-108 Цивільного кодексу України, статті 16 Закону України </w:t>
      </w:r>
      <w:r w:rsidRPr="00272F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272F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Основи законодавства України про охорону здоров</w:t>
      </w:r>
      <w:r w:rsidRPr="00272F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’</w:t>
      </w:r>
      <w:r w:rsidRPr="00272F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я»,</w:t>
      </w:r>
      <w:r w:rsidRPr="0027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керуючись пунктом 20 частини 1 статті 43, статтею 60 Закону України «Про місцеве самоврядування в Україні», враховуючи висновки профільних депутатських комісій, </w:t>
      </w:r>
      <w:r w:rsidRPr="00272FBB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районна рада</w:t>
      </w:r>
    </w:p>
    <w:p w:rsidR="00755D7E" w:rsidRDefault="00755D7E" w:rsidP="00755D7E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вирішила:</w:t>
      </w:r>
    </w:p>
    <w:p w:rsidR="00755D7E" w:rsidRPr="00272FBB" w:rsidRDefault="00755D7E" w:rsidP="00755D7E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2F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 передавальний акт комунальної установи «Косівська районна центральна лікарня», правонаступнику  усього її майна, майнових прав та обов'язків  комунальному некомерційному підприємству «Косівська центральна районна лікарня» Косівської районної ради Івано-Франківської області (додається).</w:t>
      </w:r>
    </w:p>
    <w:p w:rsidR="00755D7E" w:rsidRPr="00272FBB" w:rsidRDefault="00755D7E" w:rsidP="00755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2F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Голові комісії з припинення комунальної установи </w:t>
      </w:r>
      <w:r w:rsidRPr="00272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«</w:t>
      </w:r>
      <w:r w:rsidRPr="00272F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Косівська Центральна районна лікарня» (Д.Микитюк) подати передавальний акт державному реєстратору для проведення державної реєстрації припинення юридичної особи у порядку, визначеному чинним законодавством України.</w:t>
      </w:r>
    </w:p>
    <w:p w:rsidR="00755D7E" w:rsidRPr="00272FBB" w:rsidRDefault="00755D7E" w:rsidP="00755D7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Контроль за виконанням даного рішення покласти на заступника голови районної ради Володимира Петричука, </w:t>
      </w:r>
      <w:r w:rsidRPr="00272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постійну комісію районної ради з </w:t>
      </w:r>
      <w:r w:rsidRPr="00272FBB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питань охорони здоров’я, материнства, дитинства та соціального захисту (І.Слижук), постійну комісію з питань </w:t>
      </w:r>
      <w:r w:rsidRPr="00272FB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комунальної власності, підприємництва, земельних відносин, агропромислового розвитку та регуляторної діяльності</w:t>
      </w:r>
      <w:r w:rsidRPr="00272FBB">
        <w:rPr>
          <w:rFonts w:ascii="Times New Roman" w:hAnsi="Times New Roman" w:cs="Times New Roman"/>
          <w:color w:val="000000"/>
          <w:sz w:val="24"/>
          <w:szCs w:val="24"/>
        </w:rPr>
        <w:t xml:space="preserve"> (М.Данилюк).</w:t>
      </w: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755D7E" w:rsidRPr="00272FBB" w:rsidRDefault="00755D7E" w:rsidP="00755D7E">
      <w:pPr>
        <w:spacing w:after="0" w:line="240" w:lineRule="auto"/>
        <w:jc w:val="both"/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2FB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Голова районної ради                                                          </w:t>
      </w:r>
      <w:r w:rsidRPr="00272FB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 w:rsidRPr="00272FBB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Павло Ванджурак</w:t>
      </w:r>
    </w:p>
    <w:p w:rsidR="00755D7E" w:rsidRPr="00272FBB" w:rsidRDefault="00755D7E" w:rsidP="00755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72F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Додаток </w:t>
      </w: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72F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 рішення районної ради</w:t>
      </w: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72F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 07 червня 2018 року №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461</w:t>
      </w:r>
      <w:r w:rsidRPr="00272F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-14/2018</w:t>
      </w:r>
    </w:p>
    <w:p w:rsidR="00755D7E" w:rsidRDefault="00755D7E" w:rsidP="00755D7E">
      <w:pPr>
        <w:shd w:val="clear" w:color="auto" w:fill="FFFFFF"/>
        <w:tabs>
          <w:tab w:val="left" w:pos="726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szCs w:val="28"/>
        </w:rPr>
      </w:pPr>
      <w:r w:rsidRPr="00272FBB">
        <w:rPr>
          <w:rFonts w:ascii="Times New Roman" w:hAnsi="Times New Roman" w:cs="Times New Roman"/>
          <w:b/>
          <w:szCs w:val="28"/>
        </w:rPr>
        <w:t xml:space="preserve">                                                 </w:t>
      </w:r>
    </w:p>
    <w:p w:rsidR="00755D7E" w:rsidRPr="00272FBB" w:rsidRDefault="00755D7E" w:rsidP="00755D7E">
      <w:pPr>
        <w:shd w:val="clear" w:color="auto" w:fill="FFFFFF"/>
        <w:tabs>
          <w:tab w:val="left" w:pos="726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72FBB">
        <w:rPr>
          <w:rFonts w:ascii="Times New Roman" w:hAnsi="Times New Roman" w:cs="Times New Roman"/>
          <w:b/>
          <w:szCs w:val="28"/>
        </w:rPr>
        <w:t xml:space="preserve"> </w:t>
      </w:r>
      <w:r w:rsidRPr="00272FBB">
        <w:rPr>
          <w:rFonts w:ascii="Times New Roman" w:hAnsi="Times New Roman" w:cs="Times New Roman"/>
          <w:b/>
          <w:i/>
          <w:sz w:val="24"/>
          <w:szCs w:val="24"/>
        </w:rPr>
        <w:t>ЗАТВЕРДЖЕНО</w:t>
      </w:r>
    </w:p>
    <w:p w:rsidR="00755D7E" w:rsidRPr="00272FBB" w:rsidRDefault="00755D7E" w:rsidP="00755D7E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72FB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рішенням  районної ради </w:t>
      </w:r>
    </w:p>
    <w:p w:rsidR="00755D7E" w:rsidRPr="00272FBB" w:rsidRDefault="00755D7E" w:rsidP="00755D7E">
      <w:pPr>
        <w:spacing w:after="0" w:line="240" w:lineRule="auto"/>
        <w:ind w:left="4836" w:hanging="34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72FB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№ </w:t>
      </w:r>
      <w:r>
        <w:rPr>
          <w:rFonts w:ascii="Times New Roman" w:hAnsi="Times New Roman" w:cs="Times New Roman"/>
          <w:b/>
          <w:i/>
          <w:sz w:val="24"/>
          <w:szCs w:val="24"/>
        </w:rPr>
        <w:t>461</w:t>
      </w:r>
      <w:r w:rsidRPr="00272FBB">
        <w:rPr>
          <w:rFonts w:ascii="Times New Roman" w:hAnsi="Times New Roman" w:cs="Times New Roman"/>
          <w:b/>
          <w:i/>
          <w:sz w:val="24"/>
          <w:szCs w:val="24"/>
        </w:rPr>
        <w:t xml:space="preserve">-14/2018 від 07 червня 2018 року                </w:t>
      </w:r>
    </w:p>
    <w:p w:rsidR="00755D7E" w:rsidRPr="00272FBB" w:rsidRDefault="00755D7E" w:rsidP="00755D7E">
      <w:pPr>
        <w:spacing w:after="0" w:line="240" w:lineRule="auto"/>
        <w:ind w:left="4956" w:hanging="3420"/>
        <w:jc w:val="right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55D7E" w:rsidRPr="00272FBB" w:rsidRDefault="00755D7E" w:rsidP="00755D7E">
      <w:pPr>
        <w:spacing w:after="0" w:line="240" w:lineRule="auto"/>
        <w:ind w:left="4956" w:hanging="3420"/>
        <w:rPr>
          <w:rFonts w:ascii="Times New Roman" w:hAnsi="Times New Roman" w:cs="Times New Roman"/>
          <w:szCs w:val="28"/>
        </w:rPr>
      </w:pPr>
      <w:r w:rsidRPr="00272FBB">
        <w:rPr>
          <w:rFonts w:ascii="Times New Roman" w:hAnsi="Times New Roman" w:cs="Times New Roman"/>
          <w:szCs w:val="28"/>
        </w:rPr>
        <w:t xml:space="preserve">        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 xml:space="preserve">ПЕРЕДАВАЛЬНИЙ  АКТ  БАЛАНСОВИХ  РАХУНКІВ, МАТЕРІАЛЬНИХ ЦІННОСТЕЙ   ТА  АКТИВІВ  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>Косівської центральної районної лікарні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55D7E" w:rsidRPr="00272FBB" w:rsidRDefault="00755D7E" w:rsidP="0075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Ми, що нижче підписалися , члени  комісії з припинення юридичної особи «Косівська центральна районна лікарня» шляхом перетворення в комунальне некомерційне підприємство, створен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2FBB">
        <w:rPr>
          <w:rFonts w:ascii="Times New Roman" w:hAnsi="Times New Roman" w:cs="Times New Roman"/>
          <w:sz w:val="24"/>
          <w:szCs w:val="24"/>
        </w:rPr>
        <w:t xml:space="preserve"> згідно рішення Косівської районної ради від </w:t>
      </w:r>
      <w:r w:rsidRPr="00B33918">
        <w:rPr>
          <w:rFonts w:ascii="Times New Roman" w:hAnsi="Times New Roman" w:cs="Times New Roman"/>
          <w:sz w:val="24"/>
          <w:szCs w:val="24"/>
        </w:rPr>
        <w:t>15</w:t>
      </w:r>
      <w:r w:rsidRPr="00272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березня</w:t>
      </w:r>
      <w:r w:rsidRPr="00272FBB">
        <w:rPr>
          <w:rFonts w:ascii="Times New Roman" w:hAnsi="Times New Roman" w:cs="Times New Roman"/>
          <w:sz w:val="24"/>
          <w:szCs w:val="24"/>
        </w:rPr>
        <w:t xml:space="preserve"> 2018 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283">
        <w:rPr>
          <w:rFonts w:ascii="Times New Roman" w:hAnsi="Times New Roman" w:cs="Times New Roman"/>
          <w:sz w:val="24"/>
          <w:szCs w:val="24"/>
        </w:rPr>
        <w:t>№</w:t>
      </w:r>
      <w:r w:rsidRPr="001306D7">
        <w:rPr>
          <w:rFonts w:ascii="Times New Roman" w:hAnsi="Times New Roman" w:cs="Times New Roman"/>
          <w:sz w:val="24"/>
          <w:szCs w:val="24"/>
        </w:rPr>
        <w:t xml:space="preserve"> 431</w:t>
      </w:r>
      <w:r w:rsidRPr="009462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4628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8 «Про припинення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комунальної</w:t>
      </w:r>
      <w:r w:rsidRPr="002B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B7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“Косівська центральна районна лікарня”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шляхом перетворення у комунальне некомерційне підприємство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2FBB">
        <w:rPr>
          <w:rFonts w:ascii="Times New Roman" w:hAnsi="Times New Roman" w:cs="Times New Roman"/>
          <w:sz w:val="24"/>
          <w:szCs w:val="24"/>
        </w:rPr>
        <w:t>, у складі:</w:t>
      </w:r>
    </w:p>
    <w:p w:rsidR="00755D7E" w:rsidRPr="00272FBB" w:rsidRDefault="00755D7E" w:rsidP="0075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322B8F" w:rsidRDefault="00755D7E" w:rsidP="00755D7E">
      <w:pPr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i/>
          <w:sz w:val="24"/>
          <w:szCs w:val="24"/>
        </w:rPr>
        <w:t>Голова комісії:</w:t>
      </w:r>
      <w:r w:rsidRPr="00322B8F">
        <w:rPr>
          <w:rFonts w:ascii="Times New Roman" w:hAnsi="Times New Roman" w:cs="Times New Roman"/>
          <w:sz w:val="24"/>
          <w:szCs w:val="24"/>
        </w:rPr>
        <w:t xml:space="preserve">  Микитюк Дмитро Михайлович – головний лікар  Косівської центральної районної лікарні , ідентифікаційний номер </w:t>
      </w:r>
      <w:r w:rsidR="00F33823">
        <w:rPr>
          <w:rFonts w:ascii="Times New Roman" w:hAnsi="Times New Roman" w:cs="Times New Roman"/>
          <w:sz w:val="24"/>
          <w:szCs w:val="24"/>
        </w:rPr>
        <w:t>__________</w:t>
      </w:r>
    </w:p>
    <w:p w:rsidR="00755D7E" w:rsidRPr="00322B8F" w:rsidRDefault="00755D7E" w:rsidP="00755D7E">
      <w:pPr>
        <w:spacing w:after="0" w:line="240" w:lineRule="auto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i/>
          <w:sz w:val="24"/>
          <w:szCs w:val="24"/>
        </w:rPr>
        <w:t>Члени комісії</w:t>
      </w:r>
      <w:r w:rsidRPr="00322B8F">
        <w:rPr>
          <w:rFonts w:ascii="Times New Roman" w:hAnsi="Times New Roman" w:cs="Times New Roman"/>
          <w:sz w:val="24"/>
          <w:szCs w:val="24"/>
        </w:rPr>
        <w:t xml:space="preserve">: Томенко Світлана Іванівна – заступник головного лікаря  Косівської центральної районної лікарні , ідентифікаційний номер </w:t>
      </w:r>
      <w:r w:rsidR="00F3382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sz w:val="24"/>
          <w:szCs w:val="24"/>
        </w:rPr>
        <w:tab/>
        <w:t>Яремин Оксана Василівна – головний бухгалтер, Косівської центральної районної лікарні, ід</w:t>
      </w:r>
      <w:r w:rsidR="00F33823">
        <w:rPr>
          <w:rFonts w:ascii="Times New Roman" w:hAnsi="Times New Roman" w:cs="Times New Roman"/>
          <w:sz w:val="24"/>
          <w:szCs w:val="24"/>
        </w:rPr>
        <w:t>ентифікаційний номер 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sz w:val="24"/>
          <w:szCs w:val="24"/>
        </w:rPr>
        <w:t xml:space="preserve">Ходан Оксана Володимирівна – інспектор відділу кадрів Косівської центральної районної лікарні , ідентифікаційний номер </w:t>
      </w:r>
      <w:r w:rsidR="00F3382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sz w:val="24"/>
          <w:szCs w:val="24"/>
        </w:rPr>
        <w:t>Атаманюк Василь Петрович  – юрист Косівської центральної районної лікарні , ід</w:t>
      </w:r>
      <w:r w:rsidR="00F33823">
        <w:rPr>
          <w:rFonts w:ascii="Times New Roman" w:hAnsi="Times New Roman" w:cs="Times New Roman"/>
          <w:sz w:val="24"/>
          <w:szCs w:val="24"/>
        </w:rPr>
        <w:t>ентифікаційний номер 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sz w:val="24"/>
          <w:szCs w:val="24"/>
        </w:rPr>
        <w:t>Петричук Володимир Васильович - заступник голови Косівської районної ради, і</w:t>
      </w:r>
      <w:r w:rsidR="00F33823">
        <w:rPr>
          <w:rFonts w:ascii="Times New Roman" w:hAnsi="Times New Roman" w:cs="Times New Roman"/>
          <w:sz w:val="24"/>
          <w:szCs w:val="24"/>
        </w:rPr>
        <w:t>дентифікаційний номер 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322B8F">
        <w:rPr>
          <w:rFonts w:ascii="Times New Roman" w:hAnsi="Times New Roman" w:cs="Times New Roman"/>
          <w:sz w:val="24"/>
          <w:szCs w:val="24"/>
        </w:rPr>
        <w:t>Тонюк Василь Миколайович - депутат Косівської районної ради,   ідентифікаці</w:t>
      </w:r>
      <w:r w:rsidR="00F33823">
        <w:rPr>
          <w:rFonts w:ascii="Times New Roman" w:hAnsi="Times New Roman" w:cs="Times New Roman"/>
          <w:sz w:val="24"/>
          <w:szCs w:val="24"/>
        </w:rPr>
        <w:t>йний номер 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D7E" w:rsidRPr="00322B8F" w:rsidRDefault="00755D7E" w:rsidP="00755D7E">
      <w:pPr>
        <w:spacing w:after="0" w:line="240" w:lineRule="auto"/>
        <w:ind w:left="1980"/>
        <w:jc w:val="both"/>
        <w:rPr>
          <w:rFonts w:ascii="Times New Roman" w:hAnsi="Times New Roman" w:cs="Times New Roman"/>
          <w:szCs w:val="28"/>
        </w:rPr>
      </w:pPr>
      <w:r w:rsidRPr="00322B8F">
        <w:rPr>
          <w:rFonts w:ascii="Times New Roman" w:hAnsi="Times New Roman" w:cs="Times New Roman"/>
          <w:sz w:val="24"/>
          <w:szCs w:val="24"/>
        </w:rPr>
        <w:t xml:space="preserve">Дяков Любов Іванівна - начальник відділу комунального майна району,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2B8F">
        <w:rPr>
          <w:rFonts w:ascii="Times New Roman" w:hAnsi="Times New Roman" w:cs="Times New Roman"/>
          <w:sz w:val="24"/>
          <w:szCs w:val="24"/>
        </w:rPr>
        <w:t>ід</w:t>
      </w:r>
      <w:r w:rsidR="00F33823">
        <w:rPr>
          <w:rFonts w:ascii="Times New Roman" w:hAnsi="Times New Roman" w:cs="Times New Roman"/>
          <w:sz w:val="24"/>
          <w:szCs w:val="24"/>
        </w:rPr>
        <w:t>ентифікаційний номер 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322B8F">
        <w:rPr>
          <w:rFonts w:ascii="Times New Roman" w:hAnsi="Times New Roman" w:cs="Times New Roman"/>
          <w:szCs w:val="28"/>
        </w:rPr>
        <w:t xml:space="preserve">                 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керуючись статтями 59 та 78 Господарського кодексу України, статтями 104-108  Цивільного кодексу  України , пунктом 19 частини першої статті 43, статтею 60 Закону</w:t>
      </w:r>
      <w:r w:rsidRPr="00272F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2FBB">
        <w:rPr>
          <w:rFonts w:ascii="Times New Roman" w:hAnsi="Times New Roman" w:cs="Times New Roman"/>
          <w:sz w:val="24"/>
          <w:szCs w:val="24"/>
        </w:rPr>
        <w:t>України «Основи законодавства України про охорону здоров’я»  склали цей акт про те, що всі зобов'язання  Косівської центральної районної лікарні  перед кредиторами,  усі права</w:t>
      </w:r>
      <w:r>
        <w:rPr>
          <w:rFonts w:ascii="Times New Roman" w:hAnsi="Times New Roman" w:cs="Times New Roman"/>
          <w:sz w:val="24"/>
          <w:szCs w:val="24"/>
        </w:rPr>
        <w:t xml:space="preserve"> та  обов’язки</w:t>
      </w:r>
      <w:r w:rsidRPr="00272FBB">
        <w:rPr>
          <w:rFonts w:ascii="Times New Roman" w:hAnsi="Times New Roman" w:cs="Times New Roman"/>
          <w:sz w:val="24"/>
          <w:szCs w:val="24"/>
        </w:rPr>
        <w:t>, а також  всі  активи  і пасиви  Косівської центральної районної лікарні   шляхом   перетворення   переходять  до   правонаступника -  комунального  некомерційного підприємства  «Косівська центральна районна лікарня»,  а саме:</w:t>
      </w:r>
    </w:p>
    <w:p w:rsidR="00755D7E" w:rsidRPr="00272FBB" w:rsidRDefault="00755D7E" w:rsidP="00755D7E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2663"/>
        <w:gridCol w:w="1797"/>
        <w:gridCol w:w="1476"/>
        <w:gridCol w:w="2229"/>
      </w:tblGrid>
      <w:tr w:rsidR="00755D7E" w:rsidRPr="00272FBB" w:rsidTr="00741FAB">
        <w:trPr>
          <w:trHeight w:val="430"/>
        </w:trPr>
        <w:tc>
          <w:tcPr>
            <w:tcW w:w="1049" w:type="dxa"/>
            <w:vMerge w:val="restart"/>
            <w:vAlign w:val="center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№ рахунку</w:t>
            </w:r>
          </w:p>
        </w:tc>
        <w:tc>
          <w:tcPr>
            <w:tcW w:w="2663" w:type="dxa"/>
            <w:vMerge w:val="restart"/>
            <w:vAlign w:val="center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Назва рахунку балансу</w:t>
            </w:r>
          </w:p>
        </w:tc>
        <w:tc>
          <w:tcPr>
            <w:tcW w:w="3273" w:type="dxa"/>
            <w:gridSpan w:val="2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Дані балансу</w:t>
            </w:r>
          </w:p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Косівської  ЦРЛ  на 1.04.18р.          (грн., коп.)</w:t>
            </w:r>
          </w:p>
        </w:tc>
        <w:tc>
          <w:tcPr>
            <w:tcW w:w="2229" w:type="dxa"/>
            <w:vMerge w:val="restart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(розшифровки статей в розрізі бухгалтерських рахунків в окремих додатках)</w:t>
            </w:r>
          </w:p>
        </w:tc>
      </w:tr>
      <w:tr w:rsidR="00755D7E" w:rsidRPr="00272FBB" w:rsidTr="00741FAB">
        <w:trPr>
          <w:trHeight w:val="430"/>
        </w:trPr>
        <w:tc>
          <w:tcPr>
            <w:tcW w:w="0" w:type="auto"/>
            <w:vMerge/>
            <w:vAlign w:val="center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  <w:vAlign w:val="center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476" w:type="dxa"/>
            <w:vAlign w:val="center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0" w:type="auto"/>
            <w:vMerge/>
            <w:vAlign w:val="center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Земельні ділянки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2889910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1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Будинки та споруди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10387235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2,3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Машини та обладнання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10738671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4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1014/1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Машини та обладнання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826113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5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Транспортні засоби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669029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7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Інструменти,приладдя та інвентар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164847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6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Багаторічні насадження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№ 8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основні засоби</w:t>
            </w:r>
          </w:p>
        </w:tc>
        <w:tc>
          <w:tcPr>
            <w:tcW w:w="1797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47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2070894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Додаток  № 1</w:t>
            </w: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основні засоби</w:t>
            </w:r>
          </w:p>
        </w:tc>
        <w:tc>
          <w:tcPr>
            <w:tcW w:w="1797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47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43231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Бібліотечні фонди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15341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2089019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Білизна,постільні речі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478639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основних засобів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17157723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1305389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Малоцінні та швидкозношувані предмети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187259,31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нефінансові активи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10872,46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19544,31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Медикаменти і перев’язувальні засоби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3746374,09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Господарські матеріали і канцелярське обладнання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152205,33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Паливо,горючі і мастильні матеріали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225700,70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 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277,39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Запасні частини до транспортних засобів,машин і обладнання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61086,49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виробничі запаси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1114,00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Готівка у національній валюті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Реєстраційні рахунки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816562,62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2663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рахунки у казначействі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2663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Поточна дебіторська заборгованість за розрахунками за товари, роботи, послуги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55237,50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2116 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Дебеторська заборгованість за розрахунками з </w:t>
            </w:r>
            <w:r w:rsidRPr="0027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підзвітними особами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34229,19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Інша  поточна дебіторська заборгованість     ( за енергоносії підприємства, с/ради)   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104569,21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5461,72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Витрати майбутніх періодів (преса)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13411,94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Внесений капітал у розпорядників бюджетних коштів(фонд основних засобів)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30375910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Накопичені фінансові результати виконання  кошторису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20739055,14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6211 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з постачальниками та підрядниками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548720,30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6311 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2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з бюджетом за податками і зборами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605087,69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6313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із загальнообов’язкового державного соціального страхування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789164,90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6511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із заробітної плати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2923719,65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6516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з членами профспілки за безготівковими перерахуваннями  сум членських профспілкових внесків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35943,79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6515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з працівниками за безготівковими перерахуваннями внесків за договорами добровільного страхування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3222,00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6312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розрахунки з бюджетом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61985,06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6518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Розрахунки за виконавчими документами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909,77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6611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Зобов’язання за внутрішніми розрахунками розпорядників бюджетних коштів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2551239,42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7011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Бюджетні асигнування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Доходи від реалізації продукції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7511</w:t>
            </w:r>
          </w:p>
        </w:tc>
        <w:tc>
          <w:tcPr>
            <w:tcW w:w="2663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Доходи за необмінними операціями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2663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8012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8013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7"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Матеріальні витрати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8014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1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8111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8112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8113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Матеріальні витрати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8411</w:t>
            </w: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Інші витрати за обмінними операціями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7E" w:rsidRPr="00272FBB" w:rsidTr="00741FAB">
        <w:trPr>
          <w:trHeight w:val="430"/>
        </w:trPr>
        <w:tc>
          <w:tcPr>
            <w:tcW w:w="104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97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b/>
                <w:sz w:val="24"/>
                <w:szCs w:val="24"/>
              </w:rPr>
              <w:t>56453942,99</w:t>
            </w:r>
          </w:p>
        </w:tc>
        <w:tc>
          <w:tcPr>
            <w:tcW w:w="147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b/>
                <w:sz w:val="24"/>
                <w:szCs w:val="24"/>
              </w:rPr>
              <w:t>56453942,99</w:t>
            </w:r>
          </w:p>
        </w:tc>
        <w:tc>
          <w:tcPr>
            <w:tcW w:w="2229" w:type="dxa"/>
          </w:tcPr>
          <w:p w:rsidR="00755D7E" w:rsidRPr="00272FBB" w:rsidRDefault="00755D7E" w:rsidP="00741F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FBB">
        <w:rPr>
          <w:rFonts w:ascii="Times New Roman" w:hAnsi="Times New Roman" w:cs="Times New Roman"/>
          <w:b/>
          <w:sz w:val="24"/>
          <w:szCs w:val="24"/>
        </w:rPr>
        <w:t xml:space="preserve">   Розшифрування позабалансових рахунків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3332"/>
        <w:gridCol w:w="2817"/>
        <w:gridCol w:w="2302"/>
      </w:tblGrid>
      <w:tr w:rsidR="00755D7E" w:rsidRPr="00272FBB" w:rsidTr="00741FAB">
        <w:trPr>
          <w:trHeight w:val="430"/>
        </w:trPr>
        <w:tc>
          <w:tcPr>
            <w:tcW w:w="763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332" w:type="dxa"/>
            <w:vAlign w:val="center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рахунку позабалансового обліку</w:t>
            </w:r>
          </w:p>
        </w:tc>
        <w:tc>
          <w:tcPr>
            <w:tcW w:w="2817" w:type="dxa"/>
            <w:vAlign w:val="center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Дані балансу</w:t>
            </w:r>
          </w:p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Косівської  ЦРЛ </w:t>
            </w:r>
          </w:p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 на 1.04.18р.         </w:t>
            </w:r>
          </w:p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 xml:space="preserve"> (грн., коп.)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(розшифровки в окремих додатках)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 Орендовані  основні засоби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282427,00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 Активи на відповідальному зберіганні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041 Непередбачені активи 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 Гарантії та забезпечення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 Списана дебіторська заборгованість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 Бланки документів суворої звітності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10872,46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D7E" w:rsidRPr="00272FBB" w:rsidTr="00741FAB">
        <w:trPr>
          <w:trHeight w:val="430"/>
        </w:trPr>
        <w:tc>
          <w:tcPr>
            <w:tcW w:w="763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2817" w:type="dxa"/>
          </w:tcPr>
          <w:p w:rsidR="00755D7E" w:rsidRPr="00272FBB" w:rsidRDefault="00755D7E" w:rsidP="00741FAB">
            <w:pPr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b/>
                <w:sz w:val="24"/>
                <w:szCs w:val="24"/>
              </w:rPr>
              <w:t>293299,46</w:t>
            </w:r>
          </w:p>
        </w:tc>
        <w:tc>
          <w:tcPr>
            <w:tcW w:w="2302" w:type="dxa"/>
          </w:tcPr>
          <w:p w:rsidR="00755D7E" w:rsidRPr="00272FBB" w:rsidRDefault="00755D7E" w:rsidP="00741FAB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Примітка : додатки додаються до передавального акту.</w:t>
      </w:r>
    </w:p>
    <w:p w:rsidR="00755D7E" w:rsidRPr="00272FBB" w:rsidRDefault="00755D7E" w:rsidP="0075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Крім того, до правонаступника – комунального  некомерційного підприємства  «Косівська центральна районна лікарня» передається організаційно-розпорядча документація, яка велась в Косівській центральній районній лікарні, а саме бухгалтерські, податкові, медичні, кадрові та адміністративні документи в папках: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272FBB">
        <w:rPr>
          <w:rFonts w:ascii="Times New Roman" w:hAnsi="Times New Roman" w:cs="Times New Roman"/>
          <w:b/>
          <w:sz w:val="20"/>
        </w:rPr>
        <w:t xml:space="preserve">ОПИСАННЯ  ДОКУМЕНТІВ </w:t>
      </w:r>
    </w:p>
    <w:p w:rsidR="00755D7E" w:rsidRPr="00272FBB" w:rsidRDefault="00755D7E" w:rsidP="00755D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886"/>
        <w:gridCol w:w="4333"/>
        <w:gridCol w:w="1929"/>
      </w:tblGrid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72FBB">
              <w:rPr>
                <w:rFonts w:ascii="Times New Roman" w:hAnsi="Times New Roman" w:cs="Times New Roman"/>
                <w:b/>
                <w:sz w:val="20"/>
              </w:rPr>
              <w:t>№п/п</w:t>
            </w: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72FBB">
              <w:rPr>
                <w:rFonts w:ascii="Times New Roman" w:hAnsi="Times New Roman" w:cs="Times New Roman"/>
                <w:b/>
                <w:sz w:val="20"/>
              </w:rPr>
              <w:t>Назва  документів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72FBB">
              <w:rPr>
                <w:rFonts w:ascii="Times New Roman" w:hAnsi="Times New Roman" w:cs="Times New Roman"/>
                <w:b/>
                <w:sz w:val="20"/>
              </w:rPr>
              <w:t>Період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72FBB">
              <w:rPr>
                <w:rFonts w:ascii="Times New Roman" w:hAnsi="Times New Roman" w:cs="Times New Roman"/>
                <w:b/>
                <w:sz w:val="20"/>
              </w:rPr>
              <w:t>Кількість  папок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0"/>
              </w:rPr>
              <w:t>Меморіальний ордер №1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Меморіальний ордер №2,3,4,6,8,14,15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51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Меморіальний ордер № 5 ( в.т.ч. табелі обліку робочого часу,накази)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Меморіальний ордер № 9-10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Меморіальний ордер №11,12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Меморіальний ордер № 13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рах.1011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рах.1013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рах.1014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рах.1015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рах.1016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рах.1113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2014, 2015,2017,2018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56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рах.1114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rPr>
          <w:trHeight w:val="617"/>
        </w:trPr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рах.1812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рах.1816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рах.1511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2014,2015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рах.1512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рах.1513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рах.1514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рах.1515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рах.1516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755D7E" w:rsidRPr="00272FBB" w:rsidTr="00741FAB">
        <w:trPr>
          <w:trHeight w:val="423"/>
        </w:trPr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Оборотні відомості по рах.1518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2014,2015,2016,2017,2018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Журнал касових видатків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2006-2018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Журнал  фактичних видатків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2006-2018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Дорожні   листи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39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Меню - вимоги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39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Звіти  по  1 ДФ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Інвентаризація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</w:t>
            </w: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Картки обліку автомобільних шин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За весь період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88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Картки обліку основних засобів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За весь період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950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лікарняні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</w:tr>
      <w:tr w:rsidR="00755D7E" w:rsidRPr="00272FBB" w:rsidTr="00741FAB">
        <w:trPr>
          <w:trHeight w:val="253"/>
        </w:trPr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Звіти по фондам та податковій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2015,2016,2017,2018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Квартальні  фінансові звіти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Головна книга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2009-2018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Особові рахунки працівників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1970-2017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2FBB">
              <w:rPr>
                <w:rFonts w:ascii="Times New Roman" w:hAnsi="Times New Roman" w:cs="Times New Roman"/>
                <w:sz w:val="20"/>
                <w:lang w:val="en-US"/>
              </w:rPr>
              <w:t>330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Книги наказів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Договори  з організаціями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2013-2018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Книга реєстрації вхідних документів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Книга реєстрації вихідних  документів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72FBB">
              <w:rPr>
                <w:rFonts w:ascii="Times New Roman" w:hAnsi="Times New Roman" w:cs="Times New Roman"/>
                <w:color w:val="000000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Штатний розпис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Кошториси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2015-2018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Відомість нарахування зносу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2016,2017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55D7E" w:rsidRPr="00272FBB" w:rsidTr="00741FAB">
        <w:tc>
          <w:tcPr>
            <w:tcW w:w="741" w:type="dxa"/>
          </w:tcPr>
          <w:p w:rsidR="00755D7E" w:rsidRPr="00272FBB" w:rsidRDefault="00755D7E" w:rsidP="00741F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 xml:space="preserve">Установчі документи </w:t>
            </w:r>
          </w:p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Косів ЦРЛ</w:t>
            </w:r>
          </w:p>
        </w:tc>
        <w:tc>
          <w:tcPr>
            <w:tcW w:w="4333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2013-2017</w:t>
            </w:r>
          </w:p>
        </w:tc>
        <w:tc>
          <w:tcPr>
            <w:tcW w:w="1929" w:type="dxa"/>
          </w:tcPr>
          <w:p w:rsidR="00755D7E" w:rsidRPr="00272FBB" w:rsidRDefault="00755D7E" w:rsidP="0074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72FBB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:rsidR="00755D7E" w:rsidRPr="00272FBB" w:rsidRDefault="00755D7E" w:rsidP="00755D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Баланс Косів ЦРЛ на 01.04.2018р. Додаток №</w:t>
      </w:r>
      <w:r w:rsidRPr="00272FBB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272FB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72FBB">
        <w:rPr>
          <w:rFonts w:ascii="Times New Roman" w:hAnsi="Times New Roman" w:cs="Times New Roman"/>
          <w:sz w:val="24"/>
          <w:szCs w:val="24"/>
        </w:rPr>
        <w:t xml:space="preserve"> до передавального акту. </w:t>
      </w:r>
    </w:p>
    <w:p w:rsidR="00755D7E" w:rsidRPr="00272FBB" w:rsidRDefault="00755D7E" w:rsidP="00755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lastRenderedPageBreak/>
        <w:t>Розшифровка залишків коштів Косів ЦРЛ на реєстраційних рахунках  станом на 01.04.2018 р. Додаток № 10  до передавального акту .</w:t>
      </w:r>
    </w:p>
    <w:p w:rsidR="00755D7E" w:rsidRPr="00272FBB" w:rsidRDefault="00755D7E" w:rsidP="00755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Інформація щодо діючих угод Косів ЦРЛ станом на 01.04.2018р. Додаток №</w:t>
      </w:r>
      <w:r w:rsidRPr="00272FBB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272FB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72FBB">
        <w:rPr>
          <w:rFonts w:ascii="Times New Roman" w:hAnsi="Times New Roman" w:cs="Times New Roman"/>
          <w:sz w:val="24"/>
          <w:szCs w:val="24"/>
        </w:rPr>
        <w:t xml:space="preserve"> до передавального акту .</w:t>
      </w:r>
    </w:p>
    <w:p w:rsidR="00755D7E" w:rsidRPr="00272FBB" w:rsidRDefault="00755D7E" w:rsidP="00755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Розшифрування дебіторської та кредиторської заборгованості по Косів ЦРЛ станом на 01.04.2018р. Додаток №12 до передавального акту .</w:t>
      </w:r>
    </w:p>
    <w:p w:rsidR="00755D7E" w:rsidRPr="00272FBB" w:rsidRDefault="00755D7E" w:rsidP="00755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Комісією вжито усіх можливих заходів для виявлення та повідомлення кредиторів про реорганізацію Косівської центральної районної лікарні.</w:t>
      </w:r>
    </w:p>
    <w:p w:rsidR="00755D7E" w:rsidRPr="00272FBB" w:rsidRDefault="00755D7E" w:rsidP="0075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Комісією з припинення юридичної особи вчинено всі передбачені законодавством дії стосовно порядку припинення юридичної особи – Косівської центральної районної лікарні.</w:t>
      </w:r>
    </w:p>
    <w:p w:rsidR="00755D7E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Голова Комісії :                                       Микитюк Д.М.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>Члени комісії :                                          Томенко С.І.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  <w:t xml:space="preserve">        Яремин О.В.</w:t>
      </w:r>
    </w:p>
    <w:p w:rsidR="00755D7E" w:rsidRPr="00272FBB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      Ходан О.В.</w:t>
      </w:r>
    </w:p>
    <w:p w:rsidR="00755D7E" w:rsidRPr="00272FBB" w:rsidRDefault="00755D7E" w:rsidP="00755D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      Атаманюк В.П.</w:t>
      </w:r>
    </w:p>
    <w:p w:rsidR="00755D7E" w:rsidRPr="00272FBB" w:rsidRDefault="00755D7E" w:rsidP="00755D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        Петричук В.В.</w:t>
      </w:r>
    </w:p>
    <w:p w:rsidR="00755D7E" w:rsidRDefault="00755D7E" w:rsidP="00755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BB">
        <w:rPr>
          <w:rFonts w:ascii="Times New Roman" w:hAnsi="Times New Roman" w:cs="Times New Roman"/>
          <w:sz w:val="24"/>
          <w:szCs w:val="24"/>
        </w:rPr>
        <w:t xml:space="preserve"> </w:t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</w:r>
      <w:r w:rsidRPr="00272FBB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755D7E" w:rsidRPr="00272FBB" w:rsidRDefault="00755D7E" w:rsidP="00755D7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2FBB">
        <w:rPr>
          <w:rFonts w:ascii="Times New Roman" w:hAnsi="Times New Roman" w:cs="Times New Roman"/>
          <w:sz w:val="24"/>
          <w:szCs w:val="24"/>
        </w:rPr>
        <w:t>Тонюк В.М.</w:t>
      </w:r>
    </w:p>
    <w:p w:rsidR="00755D7E" w:rsidRPr="00272FBB" w:rsidRDefault="00755D7E" w:rsidP="00755D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D7E" w:rsidRPr="00272FBB" w:rsidRDefault="00755D7E" w:rsidP="00755D7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2FBB">
        <w:rPr>
          <w:rFonts w:ascii="Times New Roman" w:hAnsi="Times New Roman" w:cs="Times New Roman"/>
          <w:sz w:val="24"/>
          <w:szCs w:val="24"/>
        </w:rPr>
        <w:t>Дяков Л.І.</w:t>
      </w:r>
    </w:p>
    <w:p w:rsidR="00755D7E" w:rsidRPr="00272FBB" w:rsidRDefault="00755D7E" w:rsidP="00755D7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766E8" w:rsidRDefault="00F33823"/>
    <w:sectPr w:rsidR="00A766E8" w:rsidSect="003A7E6A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F4578"/>
    <w:multiLevelType w:val="hybridMultilevel"/>
    <w:tmpl w:val="87321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7E"/>
    <w:rsid w:val="00012D0D"/>
    <w:rsid w:val="00755D7E"/>
    <w:rsid w:val="007D4664"/>
    <w:rsid w:val="00F3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D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7353</Words>
  <Characters>4192</Characters>
  <Application>Microsoft Office Word</Application>
  <DocSecurity>0</DocSecurity>
  <Lines>34</Lines>
  <Paragraphs>23</Paragraphs>
  <ScaleCrop>false</ScaleCrop>
  <Company>SPecialiST RePack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</cp:revision>
  <dcterms:created xsi:type="dcterms:W3CDTF">2018-06-13T07:15:00Z</dcterms:created>
  <dcterms:modified xsi:type="dcterms:W3CDTF">2018-06-13T07:16:00Z</dcterms:modified>
</cp:coreProperties>
</file>