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9F" w:rsidRPr="00A44390" w:rsidRDefault="00AE5D3D" w:rsidP="00A44390">
      <w:pPr>
        <w:pStyle w:val="20"/>
        <w:framePr w:w="9432" w:h="14514" w:hRule="exact" w:wrap="none" w:vAnchor="page" w:hAnchor="page" w:x="1559" w:y="999"/>
        <w:shd w:val="clear" w:color="auto" w:fill="auto"/>
        <w:spacing w:line="240" w:lineRule="auto"/>
        <w:ind w:left="3740" w:right="2400"/>
      </w:pPr>
      <w:bookmarkStart w:id="0" w:name="bookmark0"/>
      <w:r w:rsidRPr="00A44390">
        <w:t xml:space="preserve">Прем’єр-міністру України </w:t>
      </w:r>
      <w:proofErr w:type="spellStart"/>
      <w:r w:rsidRPr="00A44390">
        <w:t>Гройсману</w:t>
      </w:r>
      <w:proofErr w:type="spellEnd"/>
      <w:r w:rsidRPr="00A44390">
        <w:t xml:space="preserve"> В.Б.</w:t>
      </w:r>
      <w:bookmarkEnd w:id="0"/>
    </w:p>
    <w:p w:rsidR="00764B9F" w:rsidRPr="00A44390" w:rsidRDefault="00AE5D3D" w:rsidP="00A44390">
      <w:pPr>
        <w:pStyle w:val="30"/>
        <w:framePr w:w="9432" w:h="14514" w:hRule="exact" w:wrap="none" w:vAnchor="page" w:hAnchor="page" w:x="1559" w:y="999"/>
        <w:shd w:val="clear" w:color="auto" w:fill="auto"/>
        <w:spacing w:after="0" w:line="240" w:lineRule="auto"/>
        <w:ind w:left="3740"/>
      </w:pPr>
      <w:r w:rsidRPr="00A44390">
        <w:t>Голові Національної комісії, ідо здійснює державне регулювання у сфері енергетики та комунальних послуг Вовку Д. В.</w:t>
      </w:r>
    </w:p>
    <w:p w:rsidR="00764B9F" w:rsidRPr="00A44390" w:rsidRDefault="00AE5D3D" w:rsidP="00A44390">
      <w:pPr>
        <w:pStyle w:val="20"/>
        <w:framePr w:w="9432" w:h="14514" w:hRule="exact" w:wrap="none" w:vAnchor="page" w:hAnchor="page" w:x="1559" w:y="999"/>
        <w:shd w:val="clear" w:color="auto" w:fill="auto"/>
        <w:spacing w:line="240" w:lineRule="auto"/>
        <w:ind w:left="20"/>
        <w:jc w:val="center"/>
      </w:pPr>
      <w:bookmarkStart w:id="1" w:name="bookmark1"/>
      <w:r w:rsidRPr="00A44390">
        <w:t>ЗВЕРНЕННЯ</w:t>
      </w:r>
      <w:bookmarkEnd w:id="1"/>
    </w:p>
    <w:p w:rsidR="00764B9F" w:rsidRPr="00A44390" w:rsidRDefault="00AE5D3D" w:rsidP="00A44390">
      <w:pPr>
        <w:pStyle w:val="22"/>
        <w:framePr w:w="9432" w:h="14514" w:hRule="exact" w:wrap="none" w:vAnchor="page" w:hAnchor="page" w:x="1559" w:y="999"/>
        <w:shd w:val="clear" w:color="auto" w:fill="auto"/>
        <w:tabs>
          <w:tab w:val="left" w:pos="2268"/>
          <w:tab w:val="left" w:pos="3301"/>
        </w:tabs>
        <w:spacing w:before="0" w:line="240" w:lineRule="auto"/>
        <w:ind w:firstLine="600"/>
      </w:pPr>
      <w:r w:rsidRPr="00A44390">
        <w:t>Ми, депутати Верховинської районної ради, глибоко стурбовані значним подорожчанням тариф)</w:t>
      </w:r>
      <w:r w:rsidRPr="00A44390">
        <w:t xml:space="preserve"> на електроенергію, спричиненим прийняттям Національною комісією, що здійснює державне регулювання у сферах енергетики та комунальних послуг постанови від 26.02.2015 № 220 «Про встановлення тарифів на електроенергію, що відпускається населенню». Верховинсь</w:t>
      </w:r>
      <w:r w:rsidRPr="00A44390">
        <w:t>кий</w:t>
      </w:r>
      <w:r w:rsidRPr="00A44390">
        <w:tab/>
        <w:t>район</w:t>
      </w:r>
      <w:r w:rsidRPr="00A44390">
        <w:tab/>
        <w:t>не газифікований і основним джерелом</w:t>
      </w:r>
    </w:p>
    <w:p w:rsidR="00764B9F" w:rsidRPr="00A44390" w:rsidRDefault="00AE5D3D" w:rsidP="00A44390">
      <w:pPr>
        <w:pStyle w:val="22"/>
        <w:framePr w:w="9432" w:h="14514" w:hRule="exact" w:wrap="none" w:vAnchor="page" w:hAnchor="page" w:x="1559" w:y="999"/>
        <w:shd w:val="clear" w:color="auto" w:fill="auto"/>
        <w:spacing w:before="0" w:line="240" w:lineRule="auto"/>
      </w:pPr>
      <w:r w:rsidRPr="00A44390">
        <w:t xml:space="preserve">енергозабезпечення для задоволення комунально-побутових та </w:t>
      </w:r>
      <w:proofErr w:type="spellStart"/>
      <w:r w:rsidRPr="00A44390">
        <w:t>санітарно-</w:t>
      </w:r>
      <w:proofErr w:type="spellEnd"/>
      <w:r w:rsidRPr="00A44390">
        <w:t xml:space="preserve"> гігієнічних потреб є електроенергія та дрова. Лише на ці потреби на території району вирубується більше 100 тисяч метрів кубічних деревини,</w:t>
      </w:r>
      <w:r w:rsidRPr="00A44390">
        <w:t xml:space="preserve"> а у всіх гірських населених пунктах щорічно використовувалось як паливо більше 500 тисяч кубічних метрів деревини, що еквівалентно вирубуванню 1500 га лісу. Це приводить до неконтрольованих вирубок, значного </w:t>
      </w:r>
      <w:proofErr w:type="spellStart"/>
      <w:r w:rsidRPr="00A44390">
        <w:t>знеліснення</w:t>
      </w:r>
      <w:proofErr w:type="spellEnd"/>
      <w:r w:rsidRPr="00A44390">
        <w:t xml:space="preserve"> Карпат та виникнення загрози ерозії</w:t>
      </w:r>
      <w:r w:rsidRPr="00A44390">
        <w:t xml:space="preserve"> та зсувів.</w:t>
      </w:r>
    </w:p>
    <w:p w:rsidR="00764B9F" w:rsidRPr="00A44390" w:rsidRDefault="00AE5D3D" w:rsidP="00A44390">
      <w:pPr>
        <w:pStyle w:val="22"/>
        <w:framePr w:w="9432" w:h="14514" w:hRule="exact" w:wrap="none" w:vAnchor="page" w:hAnchor="page" w:x="1559" w:y="999"/>
        <w:shd w:val="clear" w:color="auto" w:fill="auto"/>
        <w:spacing w:before="0" w:line="240" w:lineRule="auto"/>
        <w:ind w:firstLine="600"/>
      </w:pPr>
      <w:r w:rsidRPr="00A44390">
        <w:t xml:space="preserve">Українські Карпати завжди були чудовим, екологічно-чистим регіоном, перлиною та легенями України та всієї східної Європи. Один гектар зелених насаджень за одну добу поглинає 200 літрів вуглекислого газу та виділяє в атмосферу кисень, достатній </w:t>
      </w:r>
      <w:r w:rsidRPr="00A44390">
        <w:t>для підтримки життєдіяльності тридцяти чоловік.</w:t>
      </w:r>
    </w:p>
    <w:p w:rsidR="00764B9F" w:rsidRPr="00A44390" w:rsidRDefault="00AE5D3D" w:rsidP="00A44390">
      <w:pPr>
        <w:pStyle w:val="22"/>
        <w:framePr w:w="9432" w:h="14514" w:hRule="exact" w:wrap="none" w:vAnchor="page" w:hAnchor="page" w:x="1559" w:y="999"/>
        <w:shd w:val="clear" w:color="auto" w:fill="auto"/>
        <w:spacing w:before="0" w:line="240" w:lineRule="auto"/>
        <w:ind w:firstLine="600"/>
      </w:pPr>
      <w:r w:rsidRPr="00A44390">
        <w:t xml:space="preserve">Національна комісія, що здійснює державне регулювання у сфері енергетики та комунальних послуг визначила, що для населення, яке проживає в багатоквартирних будинках, не газифікованих природним газом і в яких </w:t>
      </w:r>
      <w:r w:rsidRPr="00A44390">
        <w:t>відсутні або не функціонують системи централізованого теплопостачання застосовується менший тариф на електроенергію ніж для жителів двоквартирних та індивідуальних будинків, тим самим порушила права сільських жителів, фактично визнавши їх людьми другого со</w:t>
      </w:r>
      <w:r w:rsidRPr="00A44390">
        <w:t xml:space="preserve">рту. Ми вимагаємо урівняти в правах жителів багатоквартирних і двоквартирних та і </w:t>
      </w:r>
      <w:proofErr w:type="spellStart"/>
      <w:r w:rsidRPr="00A44390">
        <w:t>і</w:t>
      </w:r>
      <w:proofErr w:type="spellEnd"/>
      <w:r w:rsidRPr="00A44390">
        <w:t xml:space="preserve"> іди в і </w:t>
      </w:r>
      <w:proofErr w:type="spellStart"/>
      <w:r w:rsidRPr="00A44390">
        <w:t>ду</w:t>
      </w:r>
      <w:proofErr w:type="spellEnd"/>
      <w:r w:rsidRPr="00A44390">
        <w:t xml:space="preserve"> </w:t>
      </w:r>
      <w:proofErr w:type="spellStart"/>
      <w:r w:rsidRPr="00A44390">
        <w:t>ал</w:t>
      </w:r>
      <w:proofErr w:type="spellEnd"/>
      <w:r w:rsidRPr="00A44390">
        <w:t xml:space="preserve"> ь н и х судин к і в</w:t>
      </w:r>
    </w:p>
    <w:p w:rsidR="00764B9F" w:rsidRPr="00A44390" w:rsidRDefault="00AE5D3D" w:rsidP="00A44390">
      <w:pPr>
        <w:pStyle w:val="22"/>
        <w:framePr w:w="9432" w:h="14514" w:hRule="exact" w:wrap="none" w:vAnchor="page" w:hAnchor="page" w:x="1559" w:y="999"/>
        <w:shd w:val="clear" w:color="auto" w:fill="auto"/>
        <w:spacing w:before="0" w:line="240" w:lineRule="auto"/>
        <w:ind w:firstLine="600"/>
      </w:pPr>
      <w:r w:rsidRPr="00A44390">
        <w:t>Населення не газифікованих населених пунктів Українських Карпат не має можливості в повній мірі користуватись газом, і значне подорожчання</w:t>
      </w:r>
      <w:r w:rsidRPr="00A44390">
        <w:t xml:space="preserve"> електроенергії, що відбувається в останні роки, унеможливлює її використання для задоволення комунально-побутових та </w:t>
      </w:r>
      <w:proofErr w:type="spellStart"/>
      <w:r w:rsidRPr="00A44390">
        <w:t>санітарно-</w:t>
      </w:r>
      <w:proofErr w:type="spellEnd"/>
      <w:r w:rsidRPr="00A44390">
        <w:t xml:space="preserve"> гігієнічних потреб, а це в свою чергу призводить до збільшення використання лісу в якості паливних дров. Це подорожчання також </w:t>
      </w:r>
      <w:r w:rsidRPr="00A44390">
        <w:t>призводить до зубожіння населення та викликає незадоволення жителів і може призвести до акцій протесту. А ці об’єми деревини могли би бути</w:t>
      </w:r>
    </w:p>
    <w:p w:rsidR="00764B9F" w:rsidRPr="00A44390" w:rsidRDefault="00764B9F" w:rsidP="00A44390">
      <w:pPr>
        <w:rPr>
          <w:rFonts w:ascii="Times New Roman" w:hAnsi="Times New Roman" w:cs="Times New Roman"/>
          <w:sz w:val="2"/>
          <w:szCs w:val="2"/>
        </w:rPr>
        <w:sectPr w:rsidR="00764B9F" w:rsidRPr="00A44390">
          <w:pgSz w:w="11900" w:h="16840"/>
          <w:pgMar w:top="360" w:right="360" w:bottom="360" w:left="360" w:header="0" w:footer="3" w:gutter="0"/>
          <w:cols w:space="720"/>
          <w:noEndnote/>
          <w:docGrid w:linePitch="360"/>
        </w:sectPr>
      </w:pPr>
    </w:p>
    <w:p w:rsidR="00764B9F" w:rsidRPr="00A44390" w:rsidRDefault="00AE5D3D" w:rsidP="00A44390">
      <w:pPr>
        <w:pStyle w:val="22"/>
        <w:framePr w:w="9414" w:h="4899" w:hRule="exact" w:wrap="none" w:vAnchor="page" w:hAnchor="page" w:x="1555" w:y="834"/>
        <w:shd w:val="clear" w:color="auto" w:fill="auto"/>
        <w:spacing w:before="0" w:line="240" w:lineRule="auto"/>
      </w:pPr>
      <w:r w:rsidRPr="00A44390">
        <w:lastRenderedPageBreak/>
        <w:t xml:space="preserve">використані в якості сировини для виробництва товарів народного вжитку та в результаті </w:t>
      </w:r>
      <w:r w:rsidRPr="00A44390">
        <w:t>збільшення бюджетних надходжень.</w:t>
      </w:r>
    </w:p>
    <w:p w:rsidR="00764B9F" w:rsidRPr="00A44390" w:rsidRDefault="00AE5D3D" w:rsidP="00A44390">
      <w:pPr>
        <w:pStyle w:val="22"/>
        <w:framePr w:w="9414" w:h="4899" w:hRule="exact" w:wrap="none" w:vAnchor="page" w:hAnchor="page" w:x="1555" w:y="834"/>
        <w:shd w:val="clear" w:color="auto" w:fill="auto"/>
        <w:spacing w:before="0" w:line="240" w:lineRule="auto"/>
        <w:ind w:firstLine="720"/>
      </w:pPr>
      <w:r w:rsidRPr="00A44390">
        <w:t>Верховинська районна рада просить Кабінет Міністрів і Національну комісію, що здійснює державне регулювання у сферах енергетики та комунальних послуг, не допустити подальшого зростання тарифу на електроенергію, скасувати пл</w:t>
      </w:r>
      <w:r w:rsidRPr="00A44390">
        <w:t xml:space="preserve">ату за підключення до електромереж, встановити пільговий тариф на електроенергію в літній період за обсяг, спожитий до 600 </w:t>
      </w:r>
      <w:proofErr w:type="spellStart"/>
      <w:r w:rsidRPr="00A44390">
        <w:t>кВттод</w:t>
      </w:r>
      <w:proofErr w:type="spellEnd"/>
      <w:r w:rsidRPr="00A44390">
        <w:t xml:space="preserve"> електроенергії на місяць та збільшити ліміт в опалювальний сезон для населення, яке проживає в будинках, не газифікованих прир</w:t>
      </w:r>
      <w:r w:rsidRPr="00A44390">
        <w:t xml:space="preserve">одним газом і в яких відсутні або не функціонують системи централізованого теплопостачання на які поширюється дія Закону України «Про статус гірських населених пунктів в Україні» до 5000 кВт </w:t>
      </w:r>
      <w:proofErr w:type="spellStart"/>
      <w:r w:rsidRPr="00A44390">
        <w:t>год</w:t>
      </w:r>
      <w:proofErr w:type="spellEnd"/>
      <w:r w:rsidRPr="00A44390">
        <w:t xml:space="preserve"> електроенергії на місяць та внести наступні зміни до Постанов</w:t>
      </w:r>
      <w:r w:rsidRPr="00A44390">
        <w:t xml:space="preserve">и Національної комісії, то здійснює державне регулювання у сферах </w:t>
      </w:r>
      <w:r w:rsidRPr="00A44390">
        <w:rPr>
          <w:rStyle w:val="23"/>
        </w:rPr>
        <w:t>енергетики та комунальних послу</w:t>
      </w:r>
      <w:r w:rsidRPr="00A44390">
        <w:t>г 26.02.201 5 № 220</w:t>
      </w:r>
    </w:p>
    <w:tbl>
      <w:tblPr>
        <w:tblOverlap w:val="never"/>
        <w:tblW w:w="0" w:type="auto"/>
        <w:tblLayout w:type="fixed"/>
        <w:tblCellMar>
          <w:left w:w="10" w:type="dxa"/>
          <w:right w:w="10" w:type="dxa"/>
        </w:tblCellMar>
        <w:tblLook w:val="04A0" w:firstRow="1" w:lastRow="0" w:firstColumn="1" w:lastColumn="0" w:noHBand="0" w:noVBand="1"/>
      </w:tblPr>
      <w:tblGrid>
        <w:gridCol w:w="6253"/>
        <w:gridCol w:w="1170"/>
        <w:gridCol w:w="1130"/>
        <w:gridCol w:w="1188"/>
      </w:tblGrid>
      <w:tr w:rsidR="00764B9F" w:rsidRPr="00A44390">
        <w:tblPrEx>
          <w:tblCellMar>
            <w:top w:w="0" w:type="dxa"/>
            <w:bottom w:w="0" w:type="dxa"/>
          </w:tblCellMar>
        </w:tblPrEx>
        <w:trPr>
          <w:trHeight w:hRule="exact" w:val="2124"/>
        </w:trPr>
        <w:tc>
          <w:tcPr>
            <w:tcW w:w="6253" w:type="dxa"/>
            <w:tcBorders>
              <w:top w:val="single" w:sz="4" w:space="0" w:color="auto"/>
              <w:left w:val="single" w:sz="4" w:space="0" w:color="auto"/>
            </w:tcBorders>
            <w:shd w:val="clear" w:color="auto" w:fill="FFFFFF"/>
            <w:vAlign w:val="bottom"/>
          </w:tcPr>
          <w:p w:rsidR="00764B9F" w:rsidRPr="00A44390" w:rsidRDefault="00AE5D3D" w:rsidP="00A44390">
            <w:pPr>
              <w:pStyle w:val="22"/>
              <w:framePr w:w="9742" w:h="6354" w:wrap="none" w:vAnchor="page" w:hAnchor="page" w:x="1563" w:y="5677"/>
              <w:shd w:val="clear" w:color="auto" w:fill="auto"/>
              <w:spacing w:before="0" w:line="240" w:lineRule="auto"/>
            </w:pPr>
            <w:r w:rsidRPr="00A44390">
              <w:rPr>
                <w:rStyle w:val="24"/>
              </w:rPr>
              <w:t>1.7. Населенню, яке проживає в будинках, не газифікованих природним газом і в яких відсутні або не функціонують системи централізованого те</w:t>
            </w:r>
            <w:r w:rsidRPr="00A44390">
              <w:rPr>
                <w:rStyle w:val="24"/>
              </w:rPr>
              <w:t>плопостачання на які поширюється дія Закону України «Про статус гірських населених пунктів в Україні»:</w:t>
            </w:r>
          </w:p>
        </w:tc>
        <w:tc>
          <w:tcPr>
            <w:tcW w:w="117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3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88" w:type="dxa"/>
            <w:tcBorders>
              <w:top w:val="single" w:sz="4" w:space="0" w:color="auto"/>
              <w:left w:val="single" w:sz="4" w:space="0" w:color="auto"/>
              <w:righ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r>
      <w:tr w:rsidR="00764B9F" w:rsidRPr="00A44390">
        <w:tblPrEx>
          <w:tblCellMar>
            <w:top w:w="0" w:type="dxa"/>
            <w:bottom w:w="0" w:type="dxa"/>
          </w:tblCellMar>
        </w:tblPrEx>
        <w:trPr>
          <w:trHeight w:hRule="exact" w:val="490"/>
        </w:trPr>
        <w:tc>
          <w:tcPr>
            <w:tcW w:w="6253" w:type="dxa"/>
            <w:tcBorders>
              <w:top w:val="single" w:sz="4" w:space="0" w:color="auto"/>
              <w:left w:val="single" w:sz="4" w:space="0" w:color="auto"/>
            </w:tcBorders>
            <w:shd w:val="clear" w:color="auto" w:fill="FFFFFF"/>
            <w:vAlign w:val="bottom"/>
          </w:tcPr>
          <w:p w:rsidR="00764B9F" w:rsidRPr="00A44390" w:rsidRDefault="00AE5D3D" w:rsidP="00A44390">
            <w:pPr>
              <w:pStyle w:val="22"/>
              <w:framePr w:w="9742" w:h="6354" w:wrap="none" w:vAnchor="page" w:hAnchor="page" w:x="1563" w:y="5677"/>
              <w:shd w:val="clear" w:color="auto" w:fill="auto"/>
              <w:spacing w:before="0" w:line="240" w:lineRule="auto"/>
            </w:pPr>
            <w:r w:rsidRPr="00A44390">
              <w:rPr>
                <w:rStyle w:val="24"/>
              </w:rPr>
              <w:t>1.7.1. У період з 01 травня по 30 вересня (включно)</w:t>
            </w:r>
          </w:p>
        </w:tc>
        <w:tc>
          <w:tcPr>
            <w:tcW w:w="117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3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88" w:type="dxa"/>
            <w:tcBorders>
              <w:top w:val="single" w:sz="4" w:space="0" w:color="auto"/>
              <w:left w:val="single" w:sz="4" w:space="0" w:color="auto"/>
              <w:righ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r>
      <w:tr w:rsidR="00764B9F" w:rsidRPr="00A44390">
        <w:tblPrEx>
          <w:tblCellMar>
            <w:top w:w="0" w:type="dxa"/>
            <w:bottom w:w="0" w:type="dxa"/>
          </w:tblCellMar>
        </w:tblPrEx>
        <w:trPr>
          <w:trHeight w:hRule="exact" w:val="810"/>
        </w:trPr>
        <w:tc>
          <w:tcPr>
            <w:tcW w:w="6253" w:type="dxa"/>
            <w:tcBorders>
              <w:top w:val="single" w:sz="4" w:space="0" w:color="auto"/>
              <w:left w:val="single" w:sz="4" w:space="0" w:color="auto"/>
            </w:tcBorders>
            <w:shd w:val="clear" w:color="auto" w:fill="FFFFFF"/>
            <w:vAlign w:val="bottom"/>
          </w:tcPr>
          <w:p w:rsidR="00764B9F" w:rsidRPr="00A44390" w:rsidRDefault="00AE5D3D" w:rsidP="00A404C8">
            <w:pPr>
              <w:pStyle w:val="22"/>
              <w:framePr w:w="9742" w:h="6354" w:wrap="none" w:vAnchor="page" w:hAnchor="page" w:x="1563" w:y="5677"/>
              <w:shd w:val="clear" w:color="auto" w:fill="auto"/>
              <w:spacing w:before="0" w:line="240" w:lineRule="auto"/>
              <w:jc w:val="left"/>
            </w:pPr>
            <w:r w:rsidRPr="00A44390">
              <w:rPr>
                <w:rStyle w:val="24"/>
              </w:rPr>
              <w:t xml:space="preserve">за обсяг, спожитий до 600 </w:t>
            </w:r>
            <w:proofErr w:type="spellStart"/>
            <w:r w:rsidRPr="00A44390">
              <w:rPr>
                <w:rStyle w:val="24"/>
              </w:rPr>
              <w:t>кВт</w:t>
            </w:r>
            <w:r w:rsidR="00A404C8">
              <w:rPr>
                <w:rStyle w:val="24"/>
              </w:rPr>
              <w:t>.г</w:t>
            </w:r>
            <w:bookmarkStart w:id="2" w:name="_GoBack"/>
            <w:bookmarkEnd w:id="2"/>
            <w:r w:rsidRPr="00A44390">
              <w:rPr>
                <w:rStyle w:val="24"/>
              </w:rPr>
              <w:t>од</w:t>
            </w:r>
            <w:proofErr w:type="spellEnd"/>
            <w:r w:rsidRPr="00A44390">
              <w:rPr>
                <w:rStyle w:val="24"/>
              </w:rPr>
              <w:t xml:space="preserve"> електроенергії на місяць (включно)</w:t>
            </w:r>
          </w:p>
        </w:tc>
        <w:tc>
          <w:tcPr>
            <w:tcW w:w="117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75</w:t>
            </w:r>
          </w:p>
        </w:tc>
        <w:tc>
          <w:tcPr>
            <w:tcW w:w="113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15</w:t>
            </w:r>
          </w:p>
        </w:tc>
        <w:tc>
          <w:tcPr>
            <w:tcW w:w="1188" w:type="dxa"/>
            <w:tcBorders>
              <w:top w:val="single" w:sz="4" w:space="0" w:color="auto"/>
              <w:left w:val="single" w:sz="4" w:space="0" w:color="auto"/>
              <w:righ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90</w:t>
            </w:r>
          </w:p>
        </w:tc>
      </w:tr>
      <w:tr w:rsidR="00764B9F" w:rsidRPr="00A44390">
        <w:tblPrEx>
          <w:tblCellMar>
            <w:top w:w="0" w:type="dxa"/>
            <w:bottom w:w="0" w:type="dxa"/>
          </w:tblCellMar>
        </w:tblPrEx>
        <w:trPr>
          <w:trHeight w:hRule="exact" w:val="810"/>
        </w:trPr>
        <w:tc>
          <w:tcPr>
            <w:tcW w:w="6253" w:type="dxa"/>
            <w:tcBorders>
              <w:top w:val="single" w:sz="4" w:space="0" w:color="auto"/>
              <w:left w:val="single" w:sz="4" w:space="0" w:color="auto"/>
            </w:tcBorders>
            <w:shd w:val="clear" w:color="auto" w:fill="FFFFFF"/>
            <w:vAlign w:val="bottom"/>
          </w:tcPr>
          <w:p w:rsidR="00764B9F" w:rsidRPr="00A44390" w:rsidRDefault="00AE5D3D" w:rsidP="00A404C8">
            <w:pPr>
              <w:pStyle w:val="22"/>
              <w:framePr w:w="9742" w:h="6354" w:wrap="none" w:vAnchor="page" w:hAnchor="page" w:x="1563" w:y="5677"/>
              <w:shd w:val="clear" w:color="auto" w:fill="auto"/>
              <w:spacing w:before="0" w:line="240" w:lineRule="auto"/>
              <w:jc w:val="left"/>
            </w:pPr>
            <w:r w:rsidRPr="00A44390">
              <w:rPr>
                <w:rStyle w:val="24"/>
              </w:rPr>
              <w:t xml:space="preserve">за обсяг, </w:t>
            </w:r>
            <w:r w:rsidRPr="00A44390">
              <w:rPr>
                <w:rStyle w:val="24"/>
              </w:rPr>
              <w:t xml:space="preserve">спожитий понад 600 </w:t>
            </w:r>
            <w:proofErr w:type="spellStart"/>
            <w:r w:rsidRPr="00A44390">
              <w:rPr>
                <w:rStyle w:val="24"/>
              </w:rPr>
              <w:t>кВт</w:t>
            </w:r>
            <w:r w:rsidR="00A404C8">
              <w:rPr>
                <w:rStyle w:val="24"/>
              </w:rPr>
              <w:t>.г</w:t>
            </w:r>
            <w:r w:rsidRPr="00A44390">
              <w:rPr>
                <w:rStyle w:val="24"/>
              </w:rPr>
              <w:t>од</w:t>
            </w:r>
            <w:proofErr w:type="spellEnd"/>
            <w:r w:rsidRPr="00A44390">
              <w:rPr>
                <w:rStyle w:val="24"/>
              </w:rPr>
              <w:t xml:space="preserve"> електроенергії на місяць (включно)</w:t>
            </w:r>
          </w:p>
        </w:tc>
        <w:tc>
          <w:tcPr>
            <w:tcW w:w="117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140</w:t>
            </w:r>
          </w:p>
        </w:tc>
        <w:tc>
          <w:tcPr>
            <w:tcW w:w="113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28</w:t>
            </w:r>
          </w:p>
        </w:tc>
        <w:tc>
          <w:tcPr>
            <w:tcW w:w="1188" w:type="dxa"/>
            <w:tcBorders>
              <w:top w:val="single" w:sz="4" w:space="0" w:color="auto"/>
              <w:left w:val="single" w:sz="4" w:space="0" w:color="auto"/>
              <w:righ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168</w:t>
            </w:r>
          </w:p>
        </w:tc>
      </w:tr>
      <w:tr w:rsidR="00764B9F" w:rsidRPr="00A44390">
        <w:tblPrEx>
          <w:tblCellMar>
            <w:top w:w="0" w:type="dxa"/>
            <w:bottom w:w="0" w:type="dxa"/>
          </w:tblCellMar>
        </w:tblPrEx>
        <w:trPr>
          <w:trHeight w:hRule="exact" w:val="490"/>
        </w:trPr>
        <w:tc>
          <w:tcPr>
            <w:tcW w:w="6253" w:type="dxa"/>
            <w:tcBorders>
              <w:top w:val="single" w:sz="4" w:space="0" w:color="auto"/>
              <w:left w:val="single" w:sz="4" w:space="0" w:color="auto"/>
            </w:tcBorders>
            <w:shd w:val="clear" w:color="auto" w:fill="FFFFFF"/>
            <w:vAlign w:val="bottom"/>
          </w:tcPr>
          <w:p w:rsidR="00764B9F" w:rsidRPr="00A44390" w:rsidRDefault="00AE5D3D" w:rsidP="00A44390">
            <w:pPr>
              <w:pStyle w:val="22"/>
              <w:framePr w:w="9742" w:h="6354" w:wrap="none" w:vAnchor="page" w:hAnchor="page" w:x="1563" w:y="5677"/>
              <w:shd w:val="clear" w:color="auto" w:fill="auto"/>
              <w:spacing w:before="0" w:line="240" w:lineRule="auto"/>
            </w:pPr>
            <w:r w:rsidRPr="00A44390">
              <w:rPr>
                <w:rStyle w:val="24"/>
              </w:rPr>
              <w:t>1.7.2. У період з 01 жовтня по 30 квітня (включно):</w:t>
            </w:r>
          </w:p>
        </w:tc>
        <w:tc>
          <w:tcPr>
            <w:tcW w:w="117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30" w:type="dxa"/>
            <w:tcBorders>
              <w:top w:val="single" w:sz="4" w:space="0" w:color="auto"/>
              <w:lef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c>
          <w:tcPr>
            <w:tcW w:w="1188" w:type="dxa"/>
            <w:tcBorders>
              <w:top w:val="single" w:sz="4" w:space="0" w:color="auto"/>
              <w:left w:val="single" w:sz="4" w:space="0" w:color="auto"/>
              <w:right w:val="single" w:sz="4" w:space="0" w:color="auto"/>
            </w:tcBorders>
            <w:shd w:val="clear" w:color="auto" w:fill="FFFFFF"/>
          </w:tcPr>
          <w:p w:rsidR="00764B9F" w:rsidRPr="00A44390" w:rsidRDefault="00764B9F" w:rsidP="00A44390">
            <w:pPr>
              <w:framePr w:w="9742" w:h="6354" w:wrap="none" w:vAnchor="page" w:hAnchor="page" w:x="1563" w:y="5677"/>
              <w:rPr>
                <w:rFonts w:ascii="Times New Roman" w:hAnsi="Times New Roman" w:cs="Times New Roman"/>
                <w:sz w:val="10"/>
                <w:szCs w:val="10"/>
              </w:rPr>
            </w:pPr>
          </w:p>
        </w:tc>
      </w:tr>
      <w:tr w:rsidR="00764B9F" w:rsidRPr="00A44390">
        <w:tblPrEx>
          <w:tblCellMar>
            <w:top w:w="0" w:type="dxa"/>
            <w:bottom w:w="0" w:type="dxa"/>
          </w:tblCellMar>
        </w:tblPrEx>
        <w:trPr>
          <w:trHeight w:hRule="exact" w:val="810"/>
        </w:trPr>
        <w:tc>
          <w:tcPr>
            <w:tcW w:w="6253" w:type="dxa"/>
            <w:tcBorders>
              <w:top w:val="single" w:sz="4" w:space="0" w:color="auto"/>
              <w:left w:val="single" w:sz="4" w:space="0" w:color="auto"/>
            </w:tcBorders>
            <w:shd w:val="clear" w:color="auto" w:fill="FFFFFF"/>
            <w:vAlign w:val="bottom"/>
          </w:tcPr>
          <w:p w:rsidR="00764B9F" w:rsidRPr="00A44390" w:rsidRDefault="00AE5D3D" w:rsidP="00A404C8">
            <w:pPr>
              <w:pStyle w:val="22"/>
              <w:framePr w:w="9742" w:h="6354" w:wrap="none" w:vAnchor="page" w:hAnchor="page" w:x="1563" w:y="5677"/>
              <w:shd w:val="clear" w:color="auto" w:fill="auto"/>
              <w:spacing w:before="0" w:line="240" w:lineRule="auto"/>
              <w:jc w:val="left"/>
            </w:pPr>
            <w:r w:rsidRPr="00A44390">
              <w:rPr>
                <w:rStyle w:val="24"/>
              </w:rPr>
              <w:t xml:space="preserve">за обсяг, спожитий до 5000 </w:t>
            </w:r>
            <w:proofErr w:type="spellStart"/>
            <w:r w:rsidRPr="00A44390">
              <w:rPr>
                <w:rStyle w:val="24"/>
              </w:rPr>
              <w:t>кВт</w:t>
            </w:r>
            <w:r w:rsidR="00A404C8">
              <w:rPr>
                <w:rStyle w:val="24"/>
              </w:rPr>
              <w:t>.г</w:t>
            </w:r>
            <w:r w:rsidRPr="00A44390">
              <w:rPr>
                <w:rStyle w:val="24"/>
              </w:rPr>
              <w:t>од</w:t>
            </w:r>
            <w:proofErr w:type="spellEnd"/>
            <w:r w:rsidRPr="00A44390">
              <w:rPr>
                <w:rStyle w:val="24"/>
              </w:rPr>
              <w:t xml:space="preserve"> електроенергії на місяць (включно)</w:t>
            </w:r>
          </w:p>
        </w:tc>
        <w:tc>
          <w:tcPr>
            <w:tcW w:w="117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75</w:t>
            </w:r>
          </w:p>
        </w:tc>
        <w:tc>
          <w:tcPr>
            <w:tcW w:w="1130" w:type="dxa"/>
            <w:tcBorders>
              <w:top w:val="single" w:sz="4" w:space="0" w:color="auto"/>
              <w:lef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15</w:t>
            </w:r>
          </w:p>
        </w:tc>
        <w:tc>
          <w:tcPr>
            <w:tcW w:w="1188" w:type="dxa"/>
            <w:tcBorders>
              <w:top w:val="single" w:sz="4" w:space="0" w:color="auto"/>
              <w:left w:val="single" w:sz="4" w:space="0" w:color="auto"/>
              <w:righ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90</w:t>
            </w:r>
          </w:p>
        </w:tc>
      </w:tr>
      <w:tr w:rsidR="00764B9F" w:rsidRPr="00A44390">
        <w:tblPrEx>
          <w:tblCellMar>
            <w:top w:w="0" w:type="dxa"/>
            <w:bottom w:w="0" w:type="dxa"/>
          </w:tblCellMar>
        </w:tblPrEx>
        <w:trPr>
          <w:trHeight w:hRule="exact" w:val="821"/>
        </w:trPr>
        <w:tc>
          <w:tcPr>
            <w:tcW w:w="6253" w:type="dxa"/>
            <w:tcBorders>
              <w:top w:val="single" w:sz="4" w:space="0" w:color="auto"/>
              <w:left w:val="single" w:sz="4" w:space="0" w:color="auto"/>
              <w:bottom w:val="single" w:sz="4" w:space="0" w:color="auto"/>
            </w:tcBorders>
            <w:shd w:val="clear" w:color="auto" w:fill="FFFFFF"/>
            <w:vAlign w:val="bottom"/>
          </w:tcPr>
          <w:p w:rsidR="00764B9F" w:rsidRPr="00A44390" w:rsidRDefault="00AE5D3D" w:rsidP="00A404C8">
            <w:pPr>
              <w:pStyle w:val="22"/>
              <w:framePr w:w="9742" w:h="6354" w:wrap="none" w:vAnchor="page" w:hAnchor="page" w:x="1563" w:y="5677"/>
              <w:shd w:val="clear" w:color="auto" w:fill="auto"/>
              <w:spacing w:before="0" w:line="240" w:lineRule="auto"/>
              <w:jc w:val="left"/>
            </w:pPr>
            <w:r w:rsidRPr="00A44390">
              <w:rPr>
                <w:rStyle w:val="24"/>
              </w:rPr>
              <w:t xml:space="preserve">за обсяг, спожитий понад 5000 </w:t>
            </w:r>
            <w:proofErr w:type="spellStart"/>
            <w:r w:rsidRPr="00A44390">
              <w:rPr>
                <w:rStyle w:val="24"/>
              </w:rPr>
              <w:t>кВт</w:t>
            </w:r>
            <w:r w:rsidR="00A404C8">
              <w:rPr>
                <w:rStyle w:val="24"/>
              </w:rPr>
              <w:t>.г</w:t>
            </w:r>
            <w:r w:rsidRPr="00A44390">
              <w:rPr>
                <w:rStyle w:val="24"/>
              </w:rPr>
              <w:t>од</w:t>
            </w:r>
            <w:proofErr w:type="spellEnd"/>
            <w:r w:rsidRPr="00A44390">
              <w:rPr>
                <w:rStyle w:val="24"/>
              </w:rPr>
              <w:t xml:space="preserve"> </w:t>
            </w:r>
            <w:r w:rsidRPr="00A44390">
              <w:rPr>
                <w:rStyle w:val="24"/>
              </w:rPr>
              <w:t>електроенергії на місяць</w:t>
            </w:r>
          </w:p>
        </w:tc>
        <w:tc>
          <w:tcPr>
            <w:tcW w:w="1170" w:type="dxa"/>
            <w:tcBorders>
              <w:top w:val="single" w:sz="4" w:space="0" w:color="auto"/>
              <w:left w:val="single" w:sz="4" w:space="0" w:color="auto"/>
              <w:bottom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140</w:t>
            </w:r>
          </w:p>
        </w:tc>
        <w:tc>
          <w:tcPr>
            <w:tcW w:w="1130" w:type="dxa"/>
            <w:tcBorders>
              <w:top w:val="single" w:sz="4" w:space="0" w:color="auto"/>
              <w:left w:val="single" w:sz="4" w:space="0" w:color="auto"/>
              <w:bottom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28</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64B9F" w:rsidRPr="00A44390" w:rsidRDefault="00AE5D3D" w:rsidP="00A44390">
            <w:pPr>
              <w:pStyle w:val="22"/>
              <w:framePr w:w="9742" w:h="6354" w:wrap="none" w:vAnchor="page" w:hAnchor="page" w:x="1563" w:y="5677"/>
              <w:shd w:val="clear" w:color="auto" w:fill="auto"/>
              <w:spacing w:before="0" w:line="240" w:lineRule="auto"/>
              <w:jc w:val="center"/>
            </w:pPr>
            <w:r w:rsidRPr="00A44390">
              <w:rPr>
                <w:rStyle w:val="24"/>
              </w:rPr>
              <w:t>168</w:t>
            </w:r>
          </w:p>
        </w:tc>
      </w:tr>
    </w:tbl>
    <w:p w:rsidR="00764B9F" w:rsidRPr="00A44390" w:rsidRDefault="00AE5D3D" w:rsidP="00A44390">
      <w:pPr>
        <w:pStyle w:val="22"/>
        <w:framePr w:w="9410" w:h="3615" w:hRule="exact" w:wrap="none" w:vAnchor="page" w:hAnchor="page" w:x="1570" w:y="11998"/>
        <w:shd w:val="clear" w:color="auto" w:fill="auto"/>
        <w:spacing w:before="0" w:line="240" w:lineRule="auto"/>
        <w:ind w:firstLine="720"/>
      </w:pPr>
      <w:r w:rsidRPr="00A44390">
        <w:t xml:space="preserve">Це сприяло би зменшенню соціальної напруги, покрашенню екологічного стану, запобіганню масового вирубування лісів і відповідно зменшенню руйнівних наслідків стихійних лих, повеней, зсувів, а в результаті - зменшенню </w:t>
      </w:r>
      <w:r w:rsidRPr="00A44390">
        <w:t>бюджетних витрат на їх ліквідацію та підвищенню авторитет) центральних органів влади.</w:t>
      </w:r>
    </w:p>
    <w:p w:rsidR="00764B9F" w:rsidRPr="00A44390" w:rsidRDefault="00AE5D3D" w:rsidP="00A44390">
      <w:pPr>
        <w:pStyle w:val="30"/>
        <w:framePr w:w="9410" w:h="3615" w:hRule="exact" w:wrap="none" w:vAnchor="page" w:hAnchor="page" w:x="1570" w:y="11998"/>
        <w:shd w:val="clear" w:color="auto" w:fill="auto"/>
        <w:spacing w:after="0" w:line="240" w:lineRule="auto"/>
        <w:ind w:left="4020"/>
      </w:pPr>
      <w:r w:rsidRPr="00A44390">
        <w:t xml:space="preserve">Прийнято па одинадцятій сесії Верховинської районної ради VII </w:t>
      </w:r>
      <w:proofErr w:type="spellStart"/>
      <w:r w:rsidRPr="00A44390">
        <w:t>демокра</w:t>
      </w:r>
      <w:r w:rsidR="00A44390">
        <w:t>т</w:t>
      </w:r>
      <w:r w:rsidRPr="00A44390">
        <w:t>и</w:t>
      </w:r>
      <w:r w:rsidRPr="00A44390">
        <w:t>ч</w:t>
      </w:r>
      <w:r w:rsidR="00A44390">
        <w:t>н</w:t>
      </w:r>
      <w:proofErr w:type="spellEnd"/>
      <w:r w:rsidRPr="00A44390">
        <w:rPr>
          <w:lang w:val="ru-RU" w:eastAsia="ru-RU" w:bidi="ru-RU"/>
        </w:rPr>
        <w:t>о</w:t>
      </w:r>
      <w:r w:rsidRPr="00A44390">
        <w:rPr>
          <w:lang w:val="ru-RU" w:eastAsia="ru-RU" w:bidi="ru-RU"/>
        </w:rPr>
        <w:t>го с</w:t>
      </w:r>
      <w:r w:rsidRPr="00A44390">
        <w:t>кл</w:t>
      </w:r>
      <w:r w:rsidRPr="00A44390">
        <w:rPr>
          <w:lang w:val="ru-RU" w:eastAsia="ru-RU" w:bidi="ru-RU"/>
        </w:rPr>
        <w:t>и</w:t>
      </w:r>
      <w:proofErr w:type="spellStart"/>
      <w:r w:rsidRPr="00A44390">
        <w:t>ка</w:t>
      </w:r>
      <w:r w:rsidR="00A44390">
        <w:t>н</w:t>
      </w:r>
      <w:r w:rsidRPr="00A44390">
        <w:t>ня</w:t>
      </w:r>
      <w:proofErr w:type="spellEnd"/>
      <w:r w:rsidRPr="00A44390">
        <w:t xml:space="preserve"> 20 липня </w:t>
      </w:r>
      <w:r w:rsidRPr="00A44390">
        <w:t>2017 року</w:t>
      </w:r>
    </w:p>
    <w:p w:rsidR="00764B9F" w:rsidRPr="00A44390" w:rsidRDefault="00764B9F" w:rsidP="00A44390">
      <w:pPr>
        <w:rPr>
          <w:rFonts w:ascii="Times New Roman" w:hAnsi="Times New Roman" w:cs="Times New Roman"/>
          <w:sz w:val="2"/>
          <w:szCs w:val="2"/>
        </w:rPr>
        <w:sectPr w:rsidR="00764B9F" w:rsidRPr="00A44390">
          <w:pgSz w:w="11900" w:h="16840"/>
          <w:pgMar w:top="360" w:right="360" w:bottom="360" w:left="360" w:header="0" w:footer="3" w:gutter="0"/>
          <w:cols w:space="720"/>
          <w:noEndnote/>
          <w:docGrid w:linePitch="360"/>
        </w:sectPr>
      </w:pPr>
    </w:p>
    <w:p w:rsidR="00764B9F" w:rsidRPr="00A44390" w:rsidRDefault="00764B9F" w:rsidP="00A44390">
      <w:pPr>
        <w:rPr>
          <w:rFonts w:ascii="Times New Roman" w:hAnsi="Times New Roman" w:cs="Times New Roman"/>
          <w:sz w:val="2"/>
          <w:szCs w:val="2"/>
        </w:rPr>
      </w:pPr>
    </w:p>
    <w:p w:rsidR="00764B9F" w:rsidRPr="00A44390" w:rsidRDefault="00764B9F" w:rsidP="00A44390">
      <w:pPr>
        <w:framePr w:wrap="none" w:vAnchor="page" w:hAnchor="page" w:x="4826" w:y="1109"/>
        <w:rPr>
          <w:rFonts w:ascii="Times New Roman" w:hAnsi="Times New Roman" w:cs="Times New Roman"/>
          <w:sz w:val="2"/>
          <w:szCs w:val="2"/>
        </w:rPr>
      </w:pPr>
    </w:p>
    <w:p w:rsidR="00764B9F" w:rsidRPr="00A44390" w:rsidRDefault="00764B9F" w:rsidP="00A44390">
      <w:pPr>
        <w:framePr w:wrap="none" w:vAnchor="page" w:hAnchor="page" w:x="7728" w:y="859"/>
        <w:rPr>
          <w:rFonts w:ascii="Times New Roman" w:hAnsi="Times New Roman" w:cs="Times New Roman"/>
        </w:rPr>
      </w:pPr>
    </w:p>
    <w:p w:rsidR="00764B9F" w:rsidRPr="00A44390" w:rsidRDefault="00764B9F" w:rsidP="00A44390">
      <w:pPr>
        <w:pStyle w:val="10"/>
        <w:framePr w:w="9414" w:h="1723" w:hRule="exact" w:wrap="none" w:vAnchor="page" w:hAnchor="page" w:x="1568" w:y="1969"/>
        <w:shd w:val="clear" w:color="auto" w:fill="auto"/>
        <w:spacing w:after="0" w:line="240" w:lineRule="auto"/>
        <w:ind w:right="620"/>
        <w:rPr>
          <w:sz w:val="2"/>
          <w:szCs w:val="2"/>
        </w:rPr>
      </w:pPr>
    </w:p>
    <w:sectPr w:rsidR="00764B9F" w:rsidRPr="00A4439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3D" w:rsidRDefault="00AE5D3D">
      <w:r>
        <w:separator/>
      </w:r>
    </w:p>
  </w:endnote>
  <w:endnote w:type="continuationSeparator" w:id="0">
    <w:p w:rsidR="00AE5D3D" w:rsidRDefault="00AE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3D" w:rsidRDefault="00AE5D3D"/>
  </w:footnote>
  <w:footnote w:type="continuationSeparator" w:id="0">
    <w:p w:rsidR="00AE5D3D" w:rsidRDefault="00AE5D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A1493"/>
    <w:multiLevelType w:val="multilevel"/>
    <w:tmpl w:val="1B5AC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9F"/>
    <w:rsid w:val="0015702E"/>
    <w:rsid w:val="00323EBD"/>
    <w:rsid w:val="00764B9F"/>
    <w:rsid w:val="00A404C8"/>
    <w:rsid w:val="00A44390"/>
    <w:rsid w:val="00AE5D3D"/>
    <w:rsid w:val="00C249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0"/>
      <w:sz w:val="32"/>
      <w:szCs w:val="32"/>
      <w:u w:val="none"/>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6pt">
    <w:name w:val="Заголовок №2 + 16 pt"/>
    <w:basedOn w:val="2"/>
    <w:rPr>
      <w:rFonts w:ascii="Times New Roman" w:eastAsia="Times New Roman" w:hAnsi="Times New Roman" w:cs="Times New Roman"/>
      <w:b/>
      <w:bCs/>
      <w:i w:val="0"/>
      <w:iCs w:val="0"/>
      <w:smallCaps w:val="0"/>
      <w:strike w:val="0"/>
      <w:color w:val="000000"/>
      <w:spacing w:val="20"/>
      <w:w w:val="100"/>
      <w:position w:val="0"/>
      <w:sz w:val="32"/>
      <w:szCs w:val="32"/>
      <w:u w:val="none"/>
      <w:lang w:val="uk-UA" w:eastAsia="uk-UA" w:bidi="uk-UA"/>
    </w:rPr>
  </w:style>
  <w:style w:type="character" w:customStyle="1" w:styleId="220">
    <w:name w:val="Заголовок №2 (2)_"/>
    <w:basedOn w:val="a0"/>
    <w:link w:val="221"/>
    <w:rPr>
      <w:rFonts w:ascii="Segoe UI" w:eastAsia="Segoe UI" w:hAnsi="Segoe UI" w:cs="Segoe UI"/>
      <w:b/>
      <w:bCs/>
      <w:i w:val="0"/>
      <w:iCs w:val="0"/>
      <w:smallCaps w:val="0"/>
      <w:strike w:val="0"/>
      <w:u w:val="none"/>
    </w:rPr>
  </w:style>
  <w:style w:type="paragraph" w:customStyle="1" w:styleId="20">
    <w:name w:val="Заголовок №2"/>
    <w:basedOn w:val="a"/>
    <w:link w:val="2"/>
    <w:pPr>
      <w:shd w:val="clear" w:color="auto" w:fill="FFFFFF"/>
      <w:spacing w:line="371" w:lineRule="exact"/>
      <w:outlineLvl w:val="1"/>
    </w:pPr>
    <w:rPr>
      <w:rFonts w:ascii="Times New Roman" w:eastAsia="Times New Roman" w:hAnsi="Times New Roman" w:cs="Times New Roman"/>
      <w:b/>
      <w:bCs/>
      <w:spacing w:val="20"/>
    </w:rPr>
  </w:style>
  <w:style w:type="paragraph" w:customStyle="1" w:styleId="30">
    <w:name w:val="Основной текст (3)"/>
    <w:basedOn w:val="a"/>
    <w:link w:val="3"/>
    <w:pPr>
      <w:shd w:val="clear" w:color="auto" w:fill="FFFFFF"/>
      <w:spacing w:after="240" w:line="371" w:lineRule="exact"/>
    </w:pPr>
    <w:rPr>
      <w:rFonts w:ascii="Times New Roman" w:eastAsia="Times New Roman" w:hAnsi="Times New Roman" w:cs="Times New Roman"/>
      <w:b/>
      <w:bCs/>
      <w:spacing w:val="20"/>
    </w:rPr>
  </w:style>
  <w:style w:type="paragraph" w:customStyle="1" w:styleId="22">
    <w:name w:val="Основной текст (2)"/>
    <w:basedOn w:val="a"/>
    <w:link w:val="21"/>
    <w:pPr>
      <w:shd w:val="clear" w:color="auto" w:fill="FFFFFF"/>
      <w:spacing w:before="360" w:line="320" w:lineRule="exact"/>
      <w:jc w:val="both"/>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spacing w:val="20"/>
      <w:sz w:val="32"/>
      <w:szCs w:val="32"/>
    </w:rPr>
  </w:style>
  <w:style w:type="paragraph" w:customStyle="1" w:styleId="221">
    <w:name w:val="Заголовок №2 (2)"/>
    <w:basedOn w:val="a"/>
    <w:link w:val="220"/>
    <w:pPr>
      <w:shd w:val="clear" w:color="auto" w:fill="FFFFFF"/>
      <w:spacing w:before="180" w:line="320" w:lineRule="exact"/>
      <w:jc w:val="center"/>
      <w:outlineLvl w:val="1"/>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0"/>
      <w:sz w:val="32"/>
      <w:szCs w:val="32"/>
      <w:u w:val="none"/>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6pt">
    <w:name w:val="Заголовок №2 + 16 pt"/>
    <w:basedOn w:val="2"/>
    <w:rPr>
      <w:rFonts w:ascii="Times New Roman" w:eastAsia="Times New Roman" w:hAnsi="Times New Roman" w:cs="Times New Roman"/>
      <w:b/>
      <w:bCs/>
      <w:i w:val="0"/>
      <w:iCs w:val="0"/>
      <w:smallCaps w:val="0"/>
      <w:strike w:val="0"/>
      <w:color w:val="000000"/>
      <w:spacing w:val="20"/>
      <w:w w:val="100"/>
      <w:position w:val="0"/>
      <w:sz w:val="32"/>
      <w:szCs w:val="32"/>
      <w:u w:val="none"/>
      <w:lang w:val="uk-UA" w:eastAsia="uk-UA" w:bidi="uk-UA"/>
    </w:rPr>
  </w:style>
  <w:style w:type="character" w:customStyle="1" w:styleId="220">
    <w:name w:val="Заголовок №2 (2)_"/>
    <w:basedOn w:val="a0"/>
    <w:link w:val="221"/>
    <w:rPr>
      <w:rFonts w:ascii="Segoe UI" w:eastAsia="Segoe UI" w:hAnsi="Segoe UI" w:cs="Segoe UI"/>
      <w:b/>
      <w:bCs/>
      <w:i w:val="0"/>
      <w:iCs w:val="0"/>
      <w:smallCaps w:val="0"/>
      <w:strike w:val="0"/>
      <w:u w:val="none"/>
    </w:rPr>
  </w:style>
  <w:style w:type="paragraph" w:customStyle="1" w:styleId="20">
    <w:name w:val="Заголовок №2"/>
    <w:basedOn w:val="a"/>
    <w:link w:val="2"/>
    <w:pPr>
      <w:shd w:val="clear" w:color="auto" w:fill="FFFFFF"/>
      <w:spacing w:line="371" w:lineRule="exact"/>
      <w:outlineLvl w:val="1"/>
    </w:pPr>
    <w:rPr>
      <w:rFonts w:ascii="Times New Roman" w:eastAsia="Times New Roman" w:hAnsi="Times New Roman" w:cs="Times New Roman"/>
      <w:b/>
      <w:bCs/>
      <w:spacing w:val="20"/>
    </w:rPr>
  </w:style>
  <w:style w:type="paragraph" w:customStyle="1" w:styleId="30">
    <w:name w:val="Основной текст (3)"/>
    <w:basedOn w:val="a"/>
    <w:link w:val="3"/>
    <w:pPr>
      <w:shd w:val="clear" w:color="auto" w:fill="FFFFFF"/>
      <w:spacing w:after="240" w:line="371" w:lineRule="exact"/>
    </w:pPr>
    <w:rPr>
      <w:rFonts w:ascii="Times New Roman" w:eastAsia="Times New Roman" w:hAnsi="Times New Roman" w:cs="Times New Roman"/>
      <w:b/>
      <w:bCs/>
      <w:spacing w:val="20"/>
    </w:rPr>
  </w:style>
  <w:style w:type="paragraph" w:customStyle="1" w:styleId="22">
    <w:name w:val="Основной текст (2)"/>
    <w:basedOn w:val="a"/>
    <w:link w:val="21"/>
    <w:pPr>
      <w:shd w:val="clear" w:color="auto" w:fill="FFFFFF"/>
      <w:spacing w:before="360" w:line="320" w:lineRule="exact"/>
      <w:jc w:val="both"/>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spacing w:val="20"/>
      <w:sz w:val="32"/>
      <w:szCs w:val="32"/>
    </w:rPr>
  </w:style>
  <w:style w:type="paragraph" w:customStyle="1" w:styleId="221">
    <w:name w:val="Заголовок №2 (2)"/>
    <w:basedOn w:val="a"/>
    <w:link w:val="220"/>
    <w:pPr>
      <w:shd w:val="clear" w:color="auto" w:fill="FFFFFF"/>
      <w:spacing w:before="180" w:line="320" w:lineRule="exact"/>
      <w:jc w:val="center"/>
      <w:outlineLvl w:val="1"/>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2868</Words>
  <Characters>1636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7</cp:revision>
  <dcterms:created xsi:type="dcterms:W3CDTF">2017-09-05T06:11:00Z</dcterms:created>
  <dcterms:modified xsi:type="dcterms:W3CDTF">2017-09-05T06:18:00Z</dcterms:modified>
</cp:coreProperties>
</file>