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EF" w:rsidRPr="00C37975" w:rsidRDefault="00831798" w:rsidP="00C37975">
      <w:pPr>
        <w:pStyle w:val="30"/>
        <w:shd w:val="clear" w:color="auto" w:fill="auto"/>
        <w:spacing w:line="240" w:lineRule="auto"/>
        <w:ind w:right="520"/>
        <w:rPr>
          <w:sz w:val="24"/>
          <w:szCs w:val="24"/>
        </w:rPr>
      </w:pPr>
      <w:r w:rsidRPr="00C37975">
        <w:rPr>
          <w:sz w:val="24"/>
          <w:szCs w:val="24"/>
        </w:rPr>
        <w:t>Довідка</w:t>
      </w:r>
    </w:p>
    <w:p w:rsidR="006858EF" w:rsidRPr="00C37975" w:rsidRDefault="00831798" w:rsidP="00C37975">
      <w:pPr>
        <w:pStyle w:val="30"/>
        <w:shd w:val="clear" w:color="auto" w:fill="auto"/>
        <w:spacing w:line="240" w:lineRule="auto"/>
        <w:ind w:left="780" w:right="800"/>
        <w:rPr>
          <w:sz w:val="24"/>
          <w:szCs w:val="24"/>
        </w:rPr>
      </w:pPr>
      <w:r w:rsidRPr="00C37975">
        <w:rPr>
          <w:sz w:val="24"/>
          <w:szCs w:val="24"/>
        </w:rPr>
        <w:t xml:space="preserve">про проведену роботу відділу будівництва, </w:t>
      </w:r>
      <w:proofErr w:type="spellStart"/>
      <w:r w:rsidRPr="00C37975">
        <w:rPr>
          <w:sz w:val="24"/>
          <w:szCs w:val="24"/>
        </w:rPr>
        <w:t>житлово-</w:t>
      </w:r>
      <w:proofErr w:type="spellEnd"/>
      <w:r w:rsidRPr="00C37975">
        <w:rPr>
          <w:sz w:val="24"/>
          <w:szCs w:val="24"/>
        </w:rPr>
        <w:t xml:space="preserve"> комунального господарства, містобудування та архітектури</w:t>
      </w:r>
    </w:p>
    <w:p w:rsidR="006858EF" w:rsidRPr="00C37975" w:rsidRDefault="00831798" w:rsidP="00C37975">
      <w:pPr>
        <w:pStyle w:val="30"/>
        <w:shd w:val="clear" w:color="auto" w:fill="auto"/>
        <w:spacing w:line="240" w:lineRule="auto"/>
        <w:ind w:right="520"/>
        <w:rPr>
          <w:sz w:val="24"/>
          <w:szCs w:val="24"/>
        </w:rPr>
      </w:pPr>
      <w:proofErr w:type="spellStart"/>
      <w:r w:rsidRPr="00C37975">
        <w:rPr>
          <w:sz w:val="24"/>
          <w:szCs w:val="24"/>
        </w:rPr>
        <w:t>Косівської</w:t>
      </w:r>
      <w:proofErr w:type="spellEnd"/>
      <w:r w:rsidRPr="00C37975">
        <w:rPr>
          <w:sz w:val="24"/>
          <w:szCs w:val="24"/>
        </w:rPr>
        <w:t xml:space="preserve"> райдержадміністрації в сфері містобудування</w:t>
      </w:r>
      <w:r w:rsidRPr="00C37975">
        <w:rPr>
          <w:sz w:val="24"/>
          <w:szCs w:val="24"/>
        </w:rPr>
        <w:br/>
        <w:t xml:space="preserve">за період </w:t>
      </w:r>
      <w:r w:rsidR="00446C2F">
        <w:rPr>
          <w:sz w:val="24"/>
          <w:szCs w:val="24"/>
        </w:rPr>
        <w:t xml:space="preserve">з </w:t>
      </w:r>
      <w:r w:rsidRPr="00C37975">
        <w:rPr>
          <w:sz w:val="24"/>
          <w:szCs w:val="24"/>
        </w:rPr>
        <w:t>2015 р. по І півріччя 2016</w:t>
      </w:r>
      <w:r w:rsidR="00446C2F">
        <w:rPr>
          <w:sz w:val="24"/>
          <w:szCs w:val="24"/>
        </w:rPr>
        <w:t xml:space="preserve"> року</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В 2011 році Верховною Радою України прийнято Закон України «Про регулювання містобудівної діяльності» (далі-Закон), пріоритетним завданням якого є оновлення та розробка містобудівної документації, оскільки без реального відображення на сучасних топографічних матеріалах реальної ситуації населеного пункту не можливо планувати сталий розвиток та перспективу подальшого містобудівного освоєння територій. Законом передбачається новий підхід щодо забезпечення розвитку територій з врахуванням державних, громадських та приватних інтересів.</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Розвиток галузі та ефективність містобудівної діяльності вбачається в розробці схеми планування території Косовського району, оновленні (розробці) генеральних планів населених пунктів, планів зонування територій і детальних планів території.</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 xml:space="preserve">Необхідно зазначити, що Законом було внесено системні зміни до більш як 100 статей 23-х законів України, скасовано ряд </w:t>
      </w:r>
      <w:proofErr w:type="spellStart"/>
      <w:r w:rsidRPr="00C37975">
        <w:rPr>
          <w:sz w:val="24"/>
          <w:szCs w:val="24"/>
        </w:rPr>
        <w:t>нормативно-</w:t>
      </w:r>
      <w:proofErr w:type="spellEnd"/>
      <w:r w:rsidRPr="00C37975">
        <w:rPr>
          <w:sz w:val="24"/>
          <w:szCs w:val="24"/>
        </w:rPr>
        <w:t xml:space="preserve"> правових документів, які застосовувались у роботі галузі містобудування та архітектури. Зміни спрямовано на спрощення та удосконалення всіх етапів ведення містобудівної діяльності: від планування будівництва до введення в експлуатацію завершеного об’єкта.</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У відповідності до етапів проведення реформи містобудівної діяльності зусилля органу містобудування та архітектури були зосереджені на реалізації завдань щодо імплементації законодавства з питань реформування містобудівної діяльності в межах району.</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 xml:space="preserve">Основними завданнями відділу будівництва, житлово-комунального господарства, містобудування та архітектури </w:t>
      </w:r>
      <w:proofErr w:type="spellStart"/>
      <w:r w:rsidRPr="00C37975">
        <w:rPr>
          <w:sz w:val="24"/>
          <w:szCs w:val="24"/>
        </w:rPr>
        <w:t>Косівської</w:t>
      </w:r>
      <w:proofErr w:type="spellEnd"/>
      <w:r w:rsidRPr="00C37975">
        <w:rPr>
          <w:sz w:val="24"/>
          <w:szCs w:val="24"/>
        </w:rPr>
        <w:t xml:space="preserve"> райдержадміністрації у звітному періоді були координація робіт з розроблення та оновлення містобудівної документації на місцевому рівні, організація здійснення проектних робіт щодо розробки «Схеми планування території </w:t>
      </w:r>
      <w:proofErr w:type="spellStart"/>
      <w:r w:rsidRPr="00C37975">
        <w:rPr>
          <w:sz w:val="24"/>
          <w:szCs w:val="24"/>
        </w:rPr>
        <w:t>Косівського</w:t>
      </w:r>
      <w:proofErr w:type="spellEnd"/>
      <w:r w:rsidRPr="00C37975">
        <w:rPr>
          <w:sz w:val="24"/>
          <w:szCs w:val="24"/>
        </w:rPr>
        <w:t xml:space="preserve"> району», координація діяльності суб’єктів містобудування, ефективне управління та моніторинг ведення ефективності містобудівної діяльності в межах району.</w:t>
      </w:r>
    </w:p>
    <w:p w:rsidR="006858EF" w:rsidRPr="00C37975" w:rsidRDefault="00831798" w:rsidP="00C37975">
      <w:pPr>
        <w:pStyle w:val="20"/>
        <w:shd w:val="clear" w:color="auto" w:fill="auto"/>
        <w:spacing w:before="0" w:line="240" w:lineRule="auto"/>
        <w:ind w:firstLine="1140"/>
        <w:rPr>
          <w:sz w:val="24"/>
          <w:szCs w:val="24"/>
        </w:rPr>
      </w:pPr>
      <w:r w:rsidRPr="00C37975">
        <w:rPr>
          <w:sz w:val="24"/>
          <w:szCs w:val="24"/>
        </w:rPr>
        <w:t>Протягом звітного періоду забезпечувався контроль та виконання розпорядчих документів центральних органів виконавчої влади, законів України, рішень обласної ради, наказів обласного управління містобудування та архітектури.</w:t>
      </w:r>
    </w:p>
    <w:p w:rsidR="006858EF" w:rsidRDefault="00831798" w:rsidP="00C37975">
      <w:pPr>
        <w:pStyle w:val="20"/>
        <w:shd w:val="clear" w:color="auto" w:fill="auto"/>
        <w:spacing w:before="0" w:line="240" w:lineRule="auto"/>
        <w:ind w:firstLine="1140"/>
        <w:rPr>
          <w:rStyle w:val="295pt"/>
          <w:sz w:val="24"/>
          <w:szCs w:val="24"/>
        </w:rPr>
      </w:pPr>
      <w:r w:rsidRPr="00C37975">
        <w:rPr>
          <w:sz w:val="24"/>
          <w:szCs w:val="24"/>
        </w:rPr>
        <w:t>Одночасно, містобудівним законодавством регламентовано, що схема планування території району є першоосновою для розроблення системи стратегічних, прогнозних та програмних документів з питань</w:t>
      </w:r>
      <w:r w:rsidR="00C37975">
        <w:rPr>
          <w:sz w:val="24"/>
          <w:szCs w:val="24"/>
        </w:rPr>
        <w:t xml:space="preserve"> здійснення місцевої політики</w:t>
      </w:r>
      <w:r w:rsidRPr="00C37975">
        <w:rPr>
          <w:rStyle w:val="295pt"/>
          <w:sz w:val="24"/>
          <w:szCs w:val="24"/>
        </w:rPr>
        <w:t>.</w:t>
      </w:r>
      <w:r w:rsidR="00C37975">
        <w:rPr>
          <w:rStyle w:val="295pt"/>
          <w:sz w:val="24"/>
          <w:szCs w:val="24"/>
        </w:rPr>
        <w:t xml:space="preserve"> </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 xml:space="preserve">Завершено розробку схеми планування території </w:t>
      </w:r>
      <w:proofErr w:type="spellStart"/>
      <w:r w:rsidRPr="00C37975">
        <w:rPr>
          <w:sz w:val="24"/>
          <w:szCs w:val="24"/>
        </w:rPr>
        <w:t>Косівського</w:t>
      </w:r>
      <w:proofErr w:type="spellEnd"/>
      <w:r w:rsidRPr="00C37975">
        <w:rPr>
          <w:sz w:val="24"/>
          <w:szCs w:val="24"/>
        </w:rPr>
        <w:t xml:space="preserve"> району та згідно з експертним звітом ДП «</w:t>
      </w:r>
      <w:proofErr w:type="spellStart"/>
      <w:r w:rsidRPr="00C37975">
        <w:rPr>
          <w:sz w:val="24"/>
          <w:szCs w:val="24"/>
        </w:rPr>
        <w:t>Укрдержбудекспертизи</w:t>
      </w:r>
      <w:proofErr w:type="spellEnd"/>
      <w:r w:rsidRPr="00C37975">
        <w:rPr>
          <w:sz w:val="24"/>
          <w:szCs w:val="24"/>
        </w:rPr>
        <w:t xml:space="preserve">» містобудівна документація відповідає вимогам чинного законодавства, державним будівельним нормам України і рекомендується до затвердження рішенням сесії </w:t>
      </w:r>
      <w:proofErr w:type="spellStart"/>
      <w:r w:rsidRPr="00C37975">
        <w:rPr>
          <w:sz w:val="24"/>
          <w:szCs w:val="24"/>
        </w:rPr>
        <w:t>Косівської</w:t>
      </w:r>
      <w:proofErr w:type="spellEnd"/>
      <w:r w:rsidRPr="00C37975">
        <w:rPr>
          <w:sz w:val="24"/>
          <w:szCs w:val="24"/>
        </w:rPr>
        <w:t xml:space="preserve"> районної ради.</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Що стосується генпланів населених пунктів області, то ситуація наступна. В зв’язку із прийняттям Закону строк дії генерального плану населеного пункту не обмежується. Фактично Законом пролонговано всі генплани, які на сьогодні є в населених пунктах району.</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 xml:space="preserve">Водночас необхідно розуміти, що абсолютна більшість генпланів розроблялися за часів СРСР і державної власності форми власності на землю та сферу виробництва, у зв’язку з чим вони не можуть стати реальною основою розвитку населених пунктів. Архів містобудівної документації області (генеральні плани) не відповідає критеріям визначеним в містобудівному законодавстві, а саме розроблені не на актуалізованій картографічній основі в цифровій формі як просторово орієнтована інформація в державній системі координат (УСК 2000) без урахування даних державного земельного кадастру. Земельний кадастр був відсутній на момент розробки проектними інститутами генеральних планів, і на сьогодні не охоплює всі населені пункти області. Із зазначеного також гостро випливає проблема щодо оприлюднення генеральних планів на офіційних </w:t>
      </w:r>
      <w:proofErr w:type="spellStart"/>
      <w:r w:rsidRPr="00C37975">
        <w:rPr>
          <w:sz w:val="24"/>
          <w:szCs w:val="24"/>
        </w:rPr>
        <w:t>інтернет</w:t>
      </w:r>
      <w:proofErr w:type="spellEnd"/>
      <w:r w:rsidRPr="00C37975">
        <w:rPr>
          <w:sz w:val="24"/>
          <w:szCs w:val="24"/>
        </w:rPr>
        <w:t xml:space="preserve"> ресурсах, як того вимагає Закон України «Про доступ до публічної інформації».</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lastRenderedPageBreak/>
        <w:t xml:space="preserve">У 2015 році розроблено та затверджено генеральний план с. </w:t>
      </w:r>
      <w:proofErr w:type="spellStart"/>
      <w:r w:rsidRPr="00C37975">
        <w:rPr>
          <w:sz w:val="24"/>
          <w:szCs w:val="24"/>
        </w:rPr>
        <w:t>Пістинь</w:t>
      </w:r>
      <w:proofErr w:type="spellEnd"/>
      <w:r w:rsidRPr="00C37975">
        <w:rPr>
          <w:sz w:val="24"/>
          <w:szCs w:val="24"/>
        </w:rPr>
        <w:t xml:space="preserve">, детальний план території центральної частини с. </w:t>
      </w:r>
      <w:proofErr w:type="spellStart"/>
      <w:r w:rsidRPr="00C37975">
        <w:rPr>
          <w:sz w:val="24"/>
          <w:szCs w:val="24"/>
        </w:rPr>
        <w:t>Кобаки</w:t>
      </w:r>
      <w:proofErr w:type="spellEnd"/>
      <w:r w:rsidRPr="00C37975">
        <w:rPr>
          <w:sz w:val="24"/>
          <w:szCs w:val="24"/>
        </w:rPr>
        <w:t>.</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 xml:space="preserve">В роботі перебувають наступні генеральні плани, зокрема сіл </w:t>
      </w:r>
      <w:proofErr w:type="spellStart"/>
      <w:r w:rsidRPr="00C37975">
        <w:rPr>
          <w:sz w:val="24"/>
          <w:szCs w:val="24"/>
        </w:rPr>
        <w:t>Вербовець</w:t>
      </w:r>
      <w:proofErr w:type="spellEnd"/>
      <w:r w:rsidRPr="00C37975">
        <w:rPr>
          <w:sz w:val="24"/>
          <w:szCs w:val="24"/>
        </w:rPr>
        <w:t xml:space="preserve">, </w:t>
      </w:r>
      <w:proofErr w:type="spellStart"/>
      <w:r w:rsidRPr="00C37975">
        <w:rPr>
          <w:sz w:val="24"/>
          <w:szCs w:val="24"/>
        </w:rPr>
        <w:t>Шешори</w:t>
      </w:r>
      <w:proofErr w:type="spellEnd"/>
      <w:r w:rsidRPr="00C37975">
        <w:rPr>
          <w:sz w:val="24"/>
          <w:szCs w:val="24"/>
        </w:rPr>
        <w:t xml:space="preserve">, </w:t>
      </w:r>
      <w:proofErr w:type="spellStart"/>
      <w:r w:rsidRPr="00C37975">
        <w:rPr>
          <w:sz w:val="24"/>
          <w:szCs w:val="24"/>
        </w:rPr>
        <w:t>Страрі</w:t>
      </w:r>
      <w:proofErr w:type="spellEnd"/>
      <w:r w:rsidRPr="00C37975">
        <w:rPr>
          <w:sz w:val="24"/>
          <w:szCs w:val="24"/>
        </w:rPr>
        <w:t xml:space="preserve"> Кути та м. Косів.</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З метою підвищення рівня інвестиційної привабливості області та врегулювання проблемних питань, які стримують процес економічного зростання, а саме - відсутність у достатній кількості нових генеральних планів, детальних планів територій та відсутністю проектів зонування територій головним архітектором району спільно з органами місцевого самоврядування було проведено процедуру актуалізацію наявної містобудівної документації, як на регіональному так і на місцевих рівнях.</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Позитивною складовою проведеної роботи можна вважати технічну складову процесу актуалізації, яка є своєрідною інвентаризацією. Одночасно, актуалізація генеральних планів була вимушеним, тимчасовим кроком, який не вирішує ключових питань з точки зору перспективного планування підвідомчих територій.</w:t>
      </w:r>
    </w:p>
    <w:p w:rsidR="006858EF" w:rsidRPr="00C37975" w:rsidRDefault="00831798" w:rsidP="00C37975">
      <w:pPr>
        <w:pStyle w:val="20"/>
        <w:shd w:val="clear" w:color="auto" w:fill="auto"/>
        <w:spacing w:before="0" w:line="240" w:lineRule="auto"/>
        <w:ind w:firstLine="1120"/>
        <w:rPr>
          <w:sz w:val="24"/>
          <w:szCs w:val="24"/>
        </w:rPr>
      </w:pPr>
      <w:r w:rsidRPr="00C37975">
        <w:rPr>
          <w:sz w:val="24"/>
          <w:szCs w:val="24"/>
        </w:rPr>
        <w:t>Необхідно звернути увагу на те, що відповідно до нового містобудівного законодавства було змінено підхід стосовно вирішення питань архітектури, який став цілком новим для замовників, проектувальників та уповноважених органів з питань містобудування та</w:t>
      </w:r>
      <w:r w:rsidR="00C37975">
        <w:rPr>
          <w:sz w:val="24"/>
          <w:szCs w:val="24"/>
        </w:rPr>
        <w:t xml:space="preserve"> </w:t>
      </w:r>
      <w:r w:rsidRPr="00C37975">
        <w:rPr>
          <w:sz w:val="24"/>
          <w:szCs w:val="24"/>
        </w:rPr>
        <w:t>архітектури в цілому, та для розвитку будівельної та суміжних галузей зокрема.</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 xml:space="preserve">Наказом </w:t>
      </w:r>
      <w:proofErr w:type="spellStart"/>
      <w:r w:rsidRPr="00C37975">
        <w:rPr>
          <w:sz w:val="24"/>
          <w:szCs w:val="24"/>
        </w:rPr>
        <w:t>Мінрегіону</w:t>
      </w:r>
      <w:proofErr w:type="spellEnd"/>
      <w:r w:rsidRPr="00C37975">
        <w:rPr>
          <w:sz w:val="24"/>
          <w:szCs w:val="24"/>
        </w:rPr>
        <w:t xml:space="preserve"> від 05.07.2011р. № 103 затверджено Порядок видачі будівельного паспорту забудови земельної ділянки. З точки зору ведення індивідуального будівництва позитивним впровадженням норм Закону є надання суб’єктам містобудування на безоплатній основі протягом 10 днів будівельного паспорту забудови земельної ділянки. Так, у 2015р. головним архітектором району видано 260 будівельних паспортів, а у першому півріччі поточного року - 120..</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Крім того, на виконання Порядку видачі містобудівних умов та обмежень, що затвердженим Наказом Міністерства від 07.07.2011р. № 109, головним архітектором видано у 2015р. - 36 містобудівних умов та обмежень, а у І півріччі цього року -29.</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 xml:space="preserve">Зазначена ситуація свідчить про високі темпи розвитку містобудівної галузі у </w:t>
      </w:r>
      <w:proofErr w:type="spellStart"/>
      <w:r w:rsidRPr="00C37975">
        <w:rPr>
          <w:sz w:val="24"/>
          <w:szCs w:val="24"/>
        </w:rPr>
        <w:t>Косівському</w:t>
      </w:r>
      <w:proofErr w:type="spellEnd"/>
      <w:r w:rsidRPr="00C37975">
        <w:rPr>
          <w:sz w:val="24"/>
          <w:szCs w:val="24"/>
        </w:rPr>
        <w:t xml:space="preserve"> районі.</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Слід зазначити, що головним архітектором району в 2015 році видано 3 паспорти прив’язки розміщення тимчасових споруд для здійснення підприємницької діяльності, а у І півріччі ц.р. - 1.</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Разом з наведеним, необхідно також вказати на перелік проблемних питань, які негативно вплинули на результат роботи галузі:</w:t>
      </w:r>
    </w:p>
    <w:p w:rsidR="006858EF" w:rsidRPr="00C37975" w:rsidRDefault="00831798" w:rsidP="00C37975">
      <w:pPr>
        <w:pStyle w:val="20"/>
        <w:numPr>
          <w:ilvl w:val="0"/>
          <w:numId w:val="1"/>
        </w:numPr>
        <w:shd w:val="clear" w:color="auto" w:fill="auto"/>
        <w:tabs>
          <w:tab w:val="left" w:pos="1292"/>
        </w:tabs>
        <w:spacing w:before="0" w:line="240" w:lineRule="auto"/>
        <w:ind w:firstLine="1100"/>
        <w:rPr>
          <w:sz w:val="24"/>
          <w:szCs w:val="24"/>
        </w:rPr>
      </w:pPr>
      <w:r w:rsidRPr="00C37975">
        <w:rPr>
          <w:sz w:val="24"/>
          <w:szCs w:val="24"/>
        </w:rPr>
        <w:t>відсутність у переважній більшості населених пунктів району оновленої топографічної основи та відповідно оновленої містобудівної документації;</w:t>
      </w:r>
    </w:p>
    <w:p w:rsidR="006858EF" w:rsidRPr="00C37975" w:rsidRDefault="00831798" w:rsidP="00C37975">
      <w:pPr>
        <w:pStyle w:val="20"/>
        <w:shd w:val="clear" w:color="auto" w:fill="auto"/>
        <w:spacing w:before="0" w:line="240" w:lineRule="auto"/>
        <w:ind w:firstLine="1100"/>
        <w:rPr>
          <w:sz w:val="24"/>
          <w:szCs w:val="24"/>
        </w:rPr>
      </w:pPr>
      <w:r w:rsidRPr="00C37975">
        <w:rPr>
          <w:sz w:val="24"/>
          <w:szCs w:val="24"/>
        </w:rPr>
        <w:t>- формальний підхід при формуванні на місцях бюджетних запитів в частині передбачення коштів на розроблення оновлення містобудівної документації;</w:t>
      </w:r>
    </w:p>
    <w:p w:rsidR="006858EF" w:rsidRPr="00C37975" w:rsidRDefault="00831798" w:rsidP="00C37975">
      <w:pPr>
        <w:pStyle w:val="20"/>
        <w:numPr>
          <w:ilvl w:val="0"/>
          <w:numId w:val="1"/>
        </w:numPr>
        <w:shd w:val="clear" w:color="auto" w:fill="auto"/>
        <w:tabs>
          <w:tab w:val="left" w:pos="1290"/>
        </w:tabs>
        <w:spacing w:before="0" w:line="240" w:lineRule="auto"/>
        <w:ind w:firstLine="1100"/>
        <w:rPr>
          <w:sz w:val="24"/>
          <w:szCs w:val="24"/>
        </w:rPr>
      </w:pPr>
      <w:r w:rsidRPr="00C37975">
        <w:rPr>
          <w:sz w:val="24"/>
          <w:szCs w:val="24"/>
        </w:rPr>
        <w:t>через дефіцит коштів районного бюджету не має змоги створити необхідну матеріально-технічну базу для роботи служби містобудівного кадастру та здійснити перевід картографічних матеріалів у електронну версію відповідно до вимог Закону;</w:t>
      </w:r>
    </w:p>
    <w:p w:rsidR="006858EF" w:rsidRDefault="00831798" w:rsidP="00C37975">
      <w:pPr>
        <w:pStyle w:val="20"/>
        <w:numPr>
          <w:ilvl w:val="0"/>
          <w:numId w:val="1"/>
        </w:numPr>
        <w:shd w:val="clear" w:color="auto" w:fill="auto"/>
        <w:tabs>
          <w:tab w:val="left" w:pos="1297"/>
        </w:tabs>
        <w:spacing w:before="0" w:line="240" w:lineRule="auto"/>
        <w:ind w:firstLine="1100"/>
        <w:rPr>
          <w:sz w:val="24"/>
          <w:szCs w:val="24"/>
        </w:rPr>
      </w:pPr>
      <w:r w:rsidRPr="00C37975">
        <w:rPr>
          <w:sz w:val="24"/>
          <w:szCs w:val="24"/>
        </w:rPr>
        <w:t xml:space="preserve">недостатнє кадрове забезпечення, районного органу з питань містобудування та архітектури, який має протягом 10 днів видати на безоплатній основі будівельний паспорт та протягом 7 днів містобудівні умови та обмеження забудови земельної ділянки суб’єктам містобудування у межах </w:t>
      </w:r>
      <w:proofErr w:type="spellStart"/>
      <w:r w:rsidRPr="00C37975">
        <w:rPr>
          <w:sz w:val="24"/>
          <w:szCs w:val="24"/>
        </w:rPr>
        <w:t>Косівського</w:t>
      </w:r>
      <w:proofErr w:type="spellEnd"/>
      <w:r w:rsidRPr="00C37975">
        <w:rPr>
          <w:sz w:val="24"/>
          <w:szCs w:val="24"/>
        </w:rPr>
        <w:t xml:space="preserve"> району.</w:t>
      </w:r>
    </w:p>
    <w:p w:rsidR="00BE4818" w:rsidRDefault="00BE4818" w:rsidP="00BE4818">
      <w:pPr>
        <w:pStyle w:val="20"/>
        <w:shd w:val="clear" w:color="auto" w:fill="auto"/>
        <w:tabs>
          <w:tab w:val="left" w:pos="1297"/>
        </w:tabs>
        <w:spacing w:before="0" w:line="240" w:lineRule="auto"/>
        <w:rPr>
          <w:sz w:val="24"/>
          <w:szCs w:val="24"/>
        </w:rPr>
      </w:pPr>
    </w:p>
    <w:p w:rsidR="00BE4818" w:rsidRDefault="00BE4818" w:rsidP="00BE4818">
      <w:pPr>
        <w:pStyle w:val="20"/>
        <w:shd w:val="clear" w:color="auto" w:fill="auto"/>
        <w:tabs>
          <w:tab w:val="left" w:pos="1297"/>
        </w:tabs>
        <w:spacing w:before="0" w:line="240" w:lineRule="auto"/>
        <w:rPr>
          <w:b/>
          <w:i/>
          <w:sz w:val="24"/>
          <w:szCs w:val="24"/>
        </w:rPr>
      </w:pPr>
    </w:p>
    <w:p w:rsidR="00BE4818" w:rsidRPr="00BE4818" w:rsidRDefault="00BE4818" w:rsidP="00BE4818">
      <w:pPr>
        <w:pStyle w:val="20"/>
        <w:shd w:val="clear" w:color="auto" w:fill="auto"/>
        <w:tabs>
          <w:tab w:val="left" w:pos="1297"/>
        </w:tabs>
        <w:spacing w:before="0" w:line="240" w:lineRule="auto"/>
        <w:rPr>
          <w:b/>
          <w:i/>
          <w:sz w:val="24"/>
          <w:szCs w:val="24"/>
        </w:rPr>
      </w:pPr>
      <w:r w:rsidRPr="00BE4818">
        <w:rPr>
          <w:b/>
          <w:i/>
          <w:sz w:val="24"/>
          <w:szCs w:val="24"/>
        </w:rPr>
        <w:t>Головний архі</w:t>
      </w:r>
      <w:bookmarkStart w:id="0" w:name="_GoBack"/>
      <w:bookmarkEnd w:id="0"/>
      <w:r w:rsidRPr="00BE4818">
        <w:rPr>
          <w:b/>
          <w:i/>
          <w:sz w:val="24"/>
          <w:szCs w:val="24"/>
        </w:rPr>
        <w:t>тектор району</w:t>
      </w:r>
      <w:r w:rsidRPr="00BE4818">
        <w:rPr>
          <w:b/>
          <w:i/>
          <w:sz w:val="24"/>
          <w:szCs w:val="24"/>
        </w:rPr>
        <w:tab/>
      </w:r>
      <w:r w:rsidRPr="00BE4818">
        <w:rPr>
          <w:b/>
          <w:i/>
          <w:sz w:val="24"/>
          <w:szCs w:val="24"/>
        </w:rPr>
        <w:tab/>
      </w:r>
      <w:r w:rsidRPr="00BE4818">
        <w:rPr>
          <w:b/>
          <w:i/>
          <w:sz w:val="24"/>
          <w:szCs w:val="24"/>
        </w:rPr>
        <w:tab/>
      </w:r>
      <w:r w:rsidRPr="00BE4818">
        <w:rPr>
          <w:b/>
          <w:i/>
          <w:sz w:val="24"/>
          <w:szCs w:val="24"/>
        </w:rPr>
        <w:tab/>
      </w:r>
      <w:r w:rsidRPr="00BE4818">
        <w:rPr>
          <w:b/>
          <w:i/>
          <w:sz w:val="24"/>
          <w:szCs w:val="24"/>
        </w:rPr>
        <w:tab/>
      </w:r>
      <w:r>
        <w:rPr>
          <w:b/>
          <w:i/>
          <w:sz w:val="24"/>
          <w:szCs w:val="24"/>
        </w:rPr>
        <w:tab/>
      </w:r>
      <w:r w:rsidRPr="00BE4818">
        <w:rPr>
          <w:b/>
          <w:i/>
          <w:sz w:val="24"/>
          <w:szCs w:val="24"/>
        </w:rPr>
        <w:t>Володимир Дворник</w:t>
      </w:r>
      <w:r w:rsidR="00895718">
        <w:rPr>
          <w:b/>
          <w:i/>
          <w:sz w:val="24"/>
          <w:szCs w:val="24"/>
        </w:rPr>
        <w:t xml:space="preserve"> </w:t>
      </w:r>
    </w:p>
    <w:p w:rsidR="006858EF" w:rsidRPr="00C37975" w:rsidRDefault="006858EF" w:rsidP="00C37975">
      <w:pPr>
        <w:framePr w:h="2112" w:wrap="notBeside" w:vAnchor="text" w:hAnchor="text" w:y="1"/>
      </w:pPr>
    </w:p>
    <w:p w:rsidR="006858EF" w:rsidRPr="00C37975" w:rsidRDefault="006858EF" w:rsidP="00C37975"/>
    <w:p w:rsidR="006858EF" w:rsidRPr="00C37975" w:rsidRDefault="006858EF" w:rsidP="00C37975"/>
    <w:sectPr w:rsidR="006858EF" w:rsidRPr="00C37975" w:rsidSect="00C37975">
      <w:footerReference w:type="default" r:id="rId8"/>
      <w:pgSz w:w="11900" w:h="16840"/>
      <w:pgMar w:top="711" w:right="799" w:bottom="923"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AE" w:rsidRDefault="006359AE">
      <w:r>
        <w:separator/>
      </w:r>
    </w:p>
  </w:endnote>
  <w:endnote w:type="continuationSeparator" w:id="0">
    <w:p w:rsidR="006359AE" w:rsidRDefault="006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F" w:rsidRDefault="006858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AE" w:rsidRDefault="006359AE"/>
  </w:footnote>
  <w:footnote w:type="continuationSeparator" w:id="0">
    <w:p w:rsidR="006359AE" w:rsidRDefault="006359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09FF"/>
    <w:multiLevelType w:val="multilevel"/>
    <w:tmpl w:val="4E580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EF"/>
    <w:rsid w:val="00446C2F"/>
    <w:rsid w:val="00562A8A"/>
    <w:rsid w:val="006359AE"/>
    <w:rsid w:val="006858EF"/>
    <w:rsid w:val="00831798"/>
    <w:rsid w:val="00895718"/>
    <w:rsid w:val="00BE4818"/>
    <w:rsid w:val="00C3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pacing w:val="0"/>
      <w:w w:val="4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w w:val="40"/>
      <w:sz w:val="32"/>
      <w:szCs w:val="32"/>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6"/>
      <w:szCs w:val="16"/>
    </w:rPr>
  </w:style>
  <w:style w:type="paragraph" w:customStyle="1" w:styleId="20">
    <w:name w:val="Основной текст (2)"/>
    <w:basedOn w:val="a"/>
    <w:link w:val="2"/>
    <w:pPr>
      <w:shd w:val="clear" w:color="auto" w:fill="FFFFFF"/>
      <w:spacing w:before="300" w:line="317" w:lineRule="exact"/>
      <w:jc w:val="both"/>
    </w:pPr>
    <w:rPr>
      <w:rFonts w:ascii="Times New Roman" w:eastAsia="Times New Roman" w:hAnsi="Times New Roman" w:cs="Times New Roman"/>
      <w:sz w:val="28"/>
      <w:szCs w:val="28"/>
    </w:rPr>
  </w:style>
  <w:style w:type="paragraph" w:styleId="a7">
    <w:name w:val="header"/>
    <w:basedOn w:val="a"/>
    <w:link w:val="a8"/>
    <w:uiPriority w:val="99"/>
    <w:unhideWhenUsed/>
    <w:rsid w:val="00831798"/>
    <w:pPr>
      <w:tabs>
        <w:tab w:val="center" w:pos="4677"/>
        <w:tab w:val="right" w:pos="9355"/>
      </w:tabs>
    </w:pPr>
  </w:style>
  <w:style w:type="character" w:customStyle="1" w:styleId="a8">
    <w:name w:val="Верхний колонтитул Знак"/>
    <w:basedOn w:val="a0"/>
    <w:link w:val="a7"/>
    <w:uiPriority w:val="99"/>
    <w:rsid w:val="00831798"/>
    <w:rPr>
      <w:color w:val="000000"/>
    </w:rPr>
  </w:style>
  <w:style w:type="paragraph" w:styleId="a9">
    <w:name w:val="footer"/>
    <w:basedOn w:val="a"/>
    <w:link w:val="aa"/>
    <w:uiPriority w:val="99"/>
    <w:unhideWhenUsed/>
    <w:rsid w:val="00831798"/>
    <w:pPr>
      <w:tabs>
        <w:tab w:val="center" w:pos="4677"/>
        <w:tab w:val="right" w:pos="9355"/>
      </w:tabs>
    </w:pPr>
  </w:style>
  <w:style w:type="character" w:customStyle="1" w:styleId="aa">
    <w:name w:val="Нижний колонтитул Знак"/>
    <w:basedOn w:val="a0"/>
    <w:link w:val="a9"/>
    <w:uiPriority w:val="99"/>
    <w:rsid w:val="0083179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pacing w:val="0"/>
      <w:w w:val="4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w w:val="40"/>
      <w:sz w:val="32"/>
      <w:szCs w:val="32"/>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6"/>
      <w:szCs w:val="16"/>
    </w:rPr>
  </w:style>
  <w:style w:type="paragraph" w:customStyle="1" w:styleId="20">
    <w:name w:val="Основной текст (2)"/>
    <w:basedOn w:val="a"/>
    <w:link w:val="2"/>
    <w:pPr>
      <w:shd w:val="clear" w:color="auto" w:fill="FFFFFF"/>
      <w:spacing w:before="300" w:line="317" w:lineRule="exact"/>
      <w:jc w:val="both"/>
    </w:pPr>
    <w:rPr>
      <w:rFonts w:ascii="Times New Roman" w:eastAsia="Times New Roman" w:hAnsi="Times New Roman" w:cs="Times New Roman"/>
      <w:sz w:val="28"/>
      <w:szCs w:val="28"/>
    </w:rPr>
  </w:style>
  <w:style w:type="paragraph" w:styleId="a7">
    <w:name w:val="header"/>
    <w:basedOn w:val="a"/>
    <w:link w:val="a8"/>
    <w:uiPriority w:val="99"/>
    <w:unhideWhenUsed/>
    <w:rsid w:val="00831798"/>
    <w:pPr>
      <w:tabs>
        <w:tab w:val="center" w:pos="4677"/>
        <w:tab w:val="right" w:pos="9355"/>
      </w:tabs>
    </w:pPr>
  </w:style>
  <w:style w:type="character" w:customStyle="1" w:styleId="a8">
    <w:name w:val="Верхний колонтитул Знак"/>
    <w:basedOn w:val="a0"/>
    <w:link w:val="a7"/>
    <w:uiPriority w:val="99"/>
    <w:rsid w:val="00831798"/>
    <w:rPr>
      <w:color w:val="000000"/>
    </w:rPr>
  </w:style>
  <w:style w:type="paragraph" w:styleId="a9">
    <w:name w:val="footer"/>
    <w:basedOn w:val="a"/>
    <w:link w:val="aa"/>
    <w:uiPriority w:val="99"/>
    <w:unhideWhenUsed/>
    <w:rsid w:val="00831798"/>
    <w:pPr>
      <w:tabs>
        <w:tab w:val="center" w:pos="4677"/>
        <w:tab w:val="right" w:pos="9355"/>
      </w:tabs>
    </w:pPr>
  </w:style>
  <w:style w:type="character" w:customStyle="1" w:styleId="aa">
    <w:name w:val="Нижний колонтитул Знак"/>
    <w:basedOn w:val="a0"/>
    <w:link w:val="a9"/>
    <w:uiPriority w:val="99"/>
    <w:rsid w:val="008317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4677</Words>
  <Characters>2667</Characters>
  <Application>Microsoft Office Word</Application>
  <DocSecurity>0</DocSecurity>
  <Lines>22</Lines>
  <Paragraphs>14</Paragraphs>
  <ScaleCrop>false</ScaleCrop>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Братухин</dc:creator>
  <cp:lastModifiedBy>Роксолана</cp:lastModifiedBy>
  <cp:revision>7</cp:revision>
  <dcterms:created xsi:type="dcterms:W3CDTF">2016-07-20T08:36:00Z</dcterms:created>
  <dcterms:modified xsi:type="dcterms:W3CDTF">2016-07-25T08:22:00Z</dcterms:modified>
</cp:coreProperties>
</file>